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145" w:rsidRDefault="00360E1E">
      <w:pPr>
        <w:spacing w:line="540" w:lineRule="exact"/>
        <w:rPr>
          <w:rFonts w:ascii="黑体" w:eastAsia="黑体" w:hAnsi="黑体"/>
          <w:sz w:val="32"/>
          <w:szCs w:val="32"/>
        </w:rPr>
      </w:pPr>
      <w:r>
        <w:rPr>
          <w:rFonts w:ascii="黑体" w:eastAsia="黑体" w:hAnsi="黑体" w:hint="eastAsia"/>
          <w:sz w:val="32"/>
          <w:szCs w:val="32"/>
        </w:rPr>
        <w:t xml:space="preserve">附件1： </w:t>
      </w:r>
    </w:p>
    <w:p w:rsidR="00AF5145" w:rsidRDefault="00AF5145">
      <w:pPr>
        <w:spacing w:line="540" w:lineRule="exact"/>
        <w:rPr>
          <w:rFonts w:ascii="方正小标宋_GBK" w:eastAsia="方正小标宋_GBK" w:hAnsi="宋体"/>
          <w:sz w:val="44"/>
          <w:szCs w:val="44"/>
        </w:rPr>
      </w:pPr>
    </w:p>
    <w:p w:rsidR="00AF5145" w:rsidRDefault="00360E1E">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2018年度新疆喀什地区英吉沙县城镇人民政府（本级）部门决算</w:t>
      </w:r>
    </w:p>
    <w:p w:rsidR="00AF5145" w:rsidRDefault="00360E1E">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AF5145" w:rsidRDefault="00AF5145">
      <w:pPr>
        <w:spacing w:line="540" w:lineRule="exact"/>
        <w:rPr>
          <w:rFonts w:ascii="仿宋_GB2312" w:eastAsia="仿宋_GB2312" w:hAnsi="宋体"/>
          <w:sz w:val="32"/>
          <w:szCs w:val="32"/>
        </w:rPr>
      </w:pPr>
    </w:p>
    <w:p w:rsidR="00AF5145" w:rsidRDefault="00360E1E">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  录</w:t>
      </w:r>
    </w:p>
    <w:p w:rsidR="00AF5145" w:rsidRDefault="00AF5145">
      <w:pPr>
        <w:spacing w:line="540" w:lineRule="exact"/>
        <w:rPr>
          <w:rFonts w:ascii="仿宋_GB2312" w:eastAsia="仿宋_GB2312" w:hAnsi="宋体"/>
          <w:b/>
          <w:kern w:val="0"/>
          <w:sz w:val="32"/>
          <w:szCs w:val="32"/>
        </w:rPr>
      </w:pPr>
    </w:p>
    <w:p w:rsidR="00AF5145" w:rsidRDefault="00360E1E">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 部门单位概况</w:t>
      </w:r>
    </w:p>
    <w:p w:rsidR="00AF5145" w:rsidRDefault="00360E1E">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AF5145" w:rsidRDefault="00360E1E">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AF5145" w:rsidRDefault="00360E1E">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 部门决算情况说明</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AF5145" w:rsidRDefault="00360E1E">
      <w:pPr>
        <w:spacing w:line="540" w:lineRule="exact"/>
        <w:ind w:firstLineChars="200" w:firstLine="640"/>
        <w:rPr>
          <w:rFonts w:ascii="仿宋_GB2312" w:eastAsia="仿宋_GB2312"/>
          <w:sz w:val="32"/>
          <w:szCs w:val="32"/>
        </w:rPr>
      </w:pPr>
      <w:bookmarkStart w:id="0" w:name="OLE_LINK94"/>
      <w:bookmarkStart w:id="1" w:name="OLE_LINK95"/>
      <w:r>
        <w:rPr>
          <w:rFonts w:ascii="仿宋_GB2312" w:eastAsia="仿宋_GB2312" w:hint="eastAsia"/>
          <w:sz w:val="32"/>
          <w:szCs w:val="32"/>
        </w:rPr>
        <w:t>（一）国有资产占用情况说明</w:t>
      </w:r>
      <w:bookmarkEnd w:id="0"/>
      <w:bookmarkEnd w:id="1"/>
    </w:p>
    <w:p w:rsidR="00AF5145" w:rsidRDefault="00360E1E">
      <w:pPr>
        <w:spacing w:line="540" w:lineRule="exact"/>
        <w:ind w:firstLineChars="200" w:firstLine="640"/>
        <w:rPr>
          <w:rFonts w:ascii="仿宋_GB2312" w:eastAsia="仿宋_GB2312"/>
          <w:sz w:val="32"/>
          <w:szCs w:val="32"/>
        </w:rPr>
      </w:pPr>
      <w:bookmarkStart w:id="2" w:name="OLE_LINK96"/>
      <w:r>
        <w:rPr>
          <w:rFonts w:ascii="仿宋_GB2312" w:eastAsia="仿宋_GB2312" w:hint="eastAsia"/>
          <w:sz w:val="32"/>
          <w:szCs w:val="32"/>
        </w:rPr>
        <w:t>（二）预算绩效情况的说明</w:t>
      </w:r>
      <w:bookmarkEnd w:id="2"/>
    </w:p>
    <w:p w:rsidR="00AF5145" w:rsidRDefault="00360E1E">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 专业名词解释</w:t>
      </w:r>
    </w:p>
    <w:p w:rsidR="00AF5145" w:rsidRDefault="00360E1E">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 部</w:t>
      </w:r>
      <w:r>
        <w:rPr>
          <w:rFonts w:ascii="黑体" w:eastAsia="黑体" w:hAnsi="黑体" w:hint="eastAsia"/>
          <w:sz w:val="32"/>
          <w:szCs w:val="32"/>
        </w:rPr>
        <w:t>门决算公开的8张报表</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AF5145" w:rsidRDefault="00360E1E">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AF5145" w:rsidRDefault="00AF5145">
      <w:pPr>
        <w:spacing w:line="540" w:lineRule="exact"/>
        <w:ind w:firstLineChars="200" w:firstLine="640"/>
        <w:rPr>
          <w:rFonts w:ascii="黑体" w:eastAsia="黑体" w:hAnsi="黑体"/>
          <w:sz w:val="32"/>
          <w:szCs w:val="32"/>
        </w:rPr>
      </w:pPr>
    </w:p>
    <w:p w:rsidR="00AF5145" w:rsidRDefault="00360E1E">
      <w:pPr>
        <w:spacing w:line="540" w:lineRule="exact"/>
        <w:jc w:val="center"/>
        <w:rPr>
          <w:rFonts w:ascii="黑体" w:eastAsia="黑体" w:hAnsi="黑体"/>
          <w:sz w:val="32"/>
          <w:szCs w:val="32"/>
        </w:rPr>
      </w:pPr>
      <w:r>
        <w:rPr>
          <w:rFonts w:ascii="黑体" w:eastAsia="黑体" w:hAnsi="黑体" w:hint="eastAsia"/>
          <w:sz w:val="32"/>
          <w:szCs w:val="32"/>
        </w:rPr>
        <w:t>第一部分 部门单位概况</w:t>
      </w:r>
    </w:p>
    <w:p w:rsidR="00AF5145" w:rsidRDefault="00360E1E">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AF5145" w:rsidRDefault="00360E1E">
      <w:pPr>
        <w:spacing w:line="500" w:lineRule="exact"/>
        <w:rPr>
          <w:rFonts w:ascii="黑体" w:eastAsia="黑体" w:hAnsi="黑体" w:cs="宋体"/>
          <w:bCs/>
          <w:kern w:val="0"/>
          <w:sz w:val="32"/>
          <w:szCs w:val="32"/>
        </w:rPr>
      </w:pPr>
      <w:r>
        <w:rPr>
          <w:rFonts w:ascii="仿宋_GB2312" w:eastAsia="仿宋_GB2312" w:hint="eastAsia"/>
          <w:sz w:val="32"/>
          <w:szCs w:val="32"/>
        </w:rPr>
        <w:t xml:space="preserve">    1、贯彻落实党和国家在农村的各项方针政策和法律法规，做好农业、农村、农民工作。</w:t>
      </w:r>
      <w:r>
        <w:rPr>
          <w:rFonts w:ascii="仿宋_GB2312" w:eastAsia="仿宋_GB2312" w:hint="eastAsia"/>
          <w:sz w:val="32"/>
          <w:szCs w:val="32"/>
        </w:rPr>
        <w:br/>
        <w:t xml:space="preserve">    2、围绕促进经济发展、增加农民收入，强化公共服务、着力改善民生，加强社会管理、维护农村和谐，推进基层民主、促进农村和谐四个方面全面履行职能。</w:t>
      </w:r>
      <w:r>
        <w:rPr>
          <w:rFonts w:ascii="仿宋_GB2312" w:eastAsia="仿宋_GB2312" w:hint="eastAsia"/>
          <w:sz w:val="32"/>
          <w:szCs w:val="32"/>
        </w:rPr>
        <w:br/>
        <w:t xml:space="preserve">    3、把经济工作的着力点放在营造良好发展环境、扶持典型进行示范引导上来，提高经济发展的质量和水平。</w:t>
      </w:r>
      <w:r>
        <w:rPr>
          <w:rFonts w:ascii="仿宋_GB2312" w:eastAsia="仿宋_GB2312" w:hint="eastAsia"/>
          <w:sz w:val="32"/>
          <w:szCs w:val="32"/>
        </w:rPr>
        <w:br/>
      </w:r>
      <w:r>
        <w:rPr>
          <w:rFonts w:ascii="仿宋_GB2312" w:eastAsia="仿宋_GB2312" w:hint="eastAsia"/>
          <w:sz w:val="32"/>
          <w:szCs w:val="32"/>
        </w:rPr>
        <w:lastRenderedPageBreak/>
        <w:t xml:space="preserve">    4、做好乡村发展规划，推动产业结构调整。</w:t>
      </w:r>
      <w:r>
        <w:rPr>
          <w:rFonts w:ascii="仿宋_GB2312" w:eastAsia="仿宋_GB2312" w:hint="eastAsia"/>
          <w:sz w:val="32"/>
          <w:szCs w:val="32"/>
        </w:rPr>
        <w:br/>
        <w:t xml:space="preserve">    5、加强农村基础设施、新型农村服务体系、村镇规划建设，落实强农惠农措施，着力解决群众生产生活中的突出问题，切实维护农民合法权益。尊重农民的生产经营自主权，不得干预企业的具体生产经营活动。</w:t>
      </w:r>
      <w:r>
        <w:rPr>
          <w:rFonts w:ascii="仿宋_GB2312" w:eastAsia="仿宋_GB2312" w:hint="eastAsia"/>
          <w:sz w:val="32"/>
          <w:szCs w:val="32"/>
        </w:rPr>
        <w:br/>
        <w:t xml:space="preserve">    6、增强社会管理和公共服务职能。拓宽服务渠道，改进服务方式，通过“一站式”服务、办事代理制等多种形式，方便群众办事。</w:t>
      </w:r>
      <w:r>
        <w:rPr>
          <w:rFonts w:ascii="仿宋_GB2312" w:eastAsia="仿宋_GB2312" w:hint="eastAsia"/>
          <w:sz w:val="32"/>
          <w:szCs w:val="32"/>
        </w:rPr>
        <w:br/>
        <w:t xml:space="preserve">    7、推进依法行政，严格依法履行职责，为农民提供更多的公共服务，促进社会事业发展。综合发挥人民调解、行政调解和司法调解的作用，加强农村社会治安综合治理，及时化解农村社会矛盾，确保社会和谐。指导村民自治，推动农村建设，促进社会组织健康发展，增强社会自治功能。</w:t>
      </w:r>
      <w:r>
        <w:rPr>
          <w:rFonts w:ascii="仿宋_GB2312" w:eastAsia="仿宋_GB2312" w:hint="eastAsia"/>
          <w:sz w:val="32"/>
          <w:szCs w:val="32"/>
        </w:rPr>
        <w:br/>
        <w:t xml:space="preserve">    8、加强乡镇对村（居）民委员会选举、村务公开、资产财务的指导和监管。</w:t>
      </w:r>
      <w:r>
        <w:rPr>
          <w:rFonts w:ascii="仿宋_GB2312" w:eastAsia="仿宋_GB2312" w:hint="eastAsia"/>
          <w:sz w:val="32"/>
          <w:szCs w:val="32"/>
        </w:rPr>
        <w:br/>
        <w:t xml:space="preserve">    9、加强国家级历史文化名镇的保护与管理，弘扬民族历史文化工作。</w:t>
      </w:r>
      <w:r>
        <w:rPr>
          <w:rFonts w:ascii="仿宋_GB2312" w:eastAsia="仿宋_GB2312" w:hint="eastAsia"/>
          <w:sz w:val="32"/>
          <w:szCs w:val="32"/>
        </w:rPr>
        <w:br/>
        <w:t xml:space="preserve">    10、承办上级党委、政府交办的其它工作。 </w:t>
      </w:r>
    </w:p>
    <w:p w:rsidR="00AF5145" w:rsidRDefault="00360E1E">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AF5145" w:rsidRDefault="00360E1E">
      <w:pPr>
        <w:spacing w:line="540" w:lineRule="exact"/>
        <w:ind w:firstLineChars="200" w:firstLine="640"/>
        <w:rPr>
          <w:rFonts w:ascii="仿宋_GB2312" w:eastAsia="仿宋_GB2312" w:hAnsi="宋体" w:cs="宋体"/>
          <w:kern w:val="0"/>
          <w:sz w:val="32"/>
          <w:szCs w:val="32"/>
        </w:rPr>
      </w:pPr>
      <w:bookmarkStart w:id="3" w:name="OLE_LINK51"/>
      <w:r>
        <w:rPr>
          <w:rFonts w:ascii="仿宋_GB2312" w:eastAsia="仿宋_GB2312" w:hint="eastAsia"/>
          <w:sz w:val="32"/>
          <w:szCs w:val="32"/>
        </w:rPr>
        <w:t>从决算单位构成看，</w:t>
      </w:r>
      <w:r>
        <w:rPr>
          <w:rFonts w:ascii="仿宋_GB2312" w:eastAsia="仿宋_GB2312"/>
          <w:sz w:val="32"/>
          <w:szCs w:val="32"/>
        </w:rPr>
        <w:t>新疆喀什地区英吉沙县城镇人民政府（本级）</w:t>
      </w:r>
      <w:r>
        <w:rPr>
          <w:rFonts w:ascii="仿宋_GB2312" w:eastAsia="仿宋_GB2312" w:hint="eastAsia"/>
          <w:sz w:val="32"/>
          <w:szCs w:val="32"/>
        </w:rPr>
        <w:t>部门决算包括：</w:t>
      </w:r>
      <w:r>
        <w:rPr>
          <w:rFonts w:ascii="仿宋_GB2312" w:eastAsia="仿宋_GB2312"/>
          <w:sz w:val="32"/>
          <w:szCs w:val="32"/>
        </w:rPr>
        <w:t>新疆喀什地区英吉沙县城镇人民政府（本级）</w:t>
      </w:r>
      <w:r>
        <w:rPr>
          <w:rFonts w:ascii="仿宋_GB2312" w:eastAsia="仿宋_GB2312" w:hint="eastAsia"/>
          <w:sz w:val="32"/>
          <w:szCs w:val="32"/>
        </w:rPr>
        <w:t>部门本级决算、所属单位决算等。</w:t>
      </w:r>
    </w:p>
    <w:p w:rsidR="00AF5145" w:rsidRDefault="00360E1E">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新疆喀什地区英吉沙县城镇人民政府（本级）</w:t>
      </w:r>
      <w:r>
        <w:rPr>
          <w:rFonts w:ascii="仿宋_GB2312" w:eastAsia="仿宋_GB2312" w:hint="eastAsia"/>
          <w:sz w:val="32"/>
          <w:szCs w:val="32"/>
        </w:rPr>
        <w:t>2018年部门决算编制范围的单位名单见下表</w:t>
      </w:r>
      <w:r>
        <w:rPr>
          <w:rFonts w:ascii="仿宋_GB2312" w:eastAsia="仿宋_GB2312" w:hint="eastAsia"/>
          <w:spacing w:val="-6"/>
          <w:sz w:val="32"/>
          <w:szCs w:val="32"/>
        </w:rPr>
        <w:t>：</w:t>
      </w:r>
      <w:bookmarkEnd w:id="3"/>
    </w:p>
    <w:p w:rsidR="00AF5145" w:rsidRDefault="00AF5145">
      <w:pPr>
        <w:spacing w:line="540" w:lineRule="exact"/>
        <w:ind w:firstLineChars="200" w:firstLine="616"/>
        <w:rPr>
          <w:rFonts w:ascii="仿宋_GB2312" w:eastAsia="仿宋_GB2312"/>
          <w:spacing w:val="-6"/>
          <w:sz w:val="32"/>
          <w:szCs w:val="32"/>
        </w:rPr>
      </w:pPr>
    </w:p>
    <w:p w:rsidR="00AF5145" w:rsidRDefault="00AF5145">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56"/>
        <w:gridCol w:w="3870"/>
        <w:gridCol w:w="2538"/>
      </w:tblGrid>
      <w:tr w:rsidR="00AF5145">
        <w:trPr>
          <w:trHeight w:hRule="exact" w:val="510"/>
        </w:trPr>
        <w:tc>
          <w:tcPr>
            <w:tcW w:w="3056" w:type="dxa"/>
            <w:vAlign w:val="center"/>
          </w:tcPr>
          <w:p w:rsidR="00AF5145" w:rsidRDefault="00360E1E">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AF5145" w:rsidRDefault="00360E1E">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AF5145" w:rsidRDefault="00360E1E">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AF5145">
        <w:tc>
          <w:tcPr>
            <w:tcW w:w="3056" w:type="dxa"/>
          </w:tcPr>
          <w:p w:rsidR="00AF5145" w:rsidRDefault="00360E1E">
            <w:pPr>
              <w:spacing w:line="500" w:lineRule="exact"/>
              <w:ind w:firstLineChars="200" w:firstLine="640"/>
              <w:jc w:val="left"/>
            </w:pPr>
            <w:r>
              <w:rPr>
                <w:rFonts w:eastAsia="Times New Roman"/>
                <w:color w:val="000000"/>
                <w:position w:val="-1"/>
                <w:sz w:val="32"/>
              </w:rPr>
              <w:t>1</w:t>
            </w:r>
          </w:p>
        </w:tc>
        <w:tc>
          <w:tcPr>
            <w:tcW w:w="3870" w:type="dxa"/>
          </w:tcPr>
          <w:p w:rsidR="00AF5145" w:rsidRDefault="00360E1E">
            <w:pPr>
              <w:spacing w:line="500" w:lineRule="exact"/>
              <w:ind w:firstLineChars="200" w:firstLine="640"/>
              <w:jc w:val="left"/>
            </w:pPr>
            <w:r>
              <w:rPr>
                <w:rFonts w:eastAsia="Times New Roman"/>
                <w:color w:val="000000"/>
                <w:position w:val="-1"/>
                <w:sz w:val="32"/>
              </w:rPr>
              <w:t>新疆喀什地区英吉沙县城镇人民政府（本级</w:t>
            </w:r>
          </w:p>
        </w:tc>
        <w:tc>
          <w:tcPr>
            <w:tcW w:w="2538" w:type="dxa"/>
            <w:vAlign w:val="center"/>
          </w:tcPr>
          <w:p w:rsidR="00AF5145" w:rsidRDefault="00AF5145">
            <w:pPr>
              <w:spacing w:line="500" w:lineRule="exact"/>
              <w:ind w:firstLineChars="200" w:firstLine="420"/>
              <w:jc w:val="left"/>
            </w:pPr>
          </w:p>
        </w:tc>
      </w:tr>
    </w:tbl>
    <w:p w:rsidR="00AF5145" w:rsidRDefault="00AF5145">
      <w:pPr>
        <w:spacing w:line="500" w:lineRule="exact"/>
        <w:rPr>
          <w:rFonts w:ascii="仿宋_GB2312" w:eastAsia="仿宋_GB2312" w:hAnsi="宋体" w:cs="宋体"/>
          <w:kern w:val="0"/>
          <w:sz w:val="32"/>
          <w:szCs w:val="32"/>
        </w:rPr>
      </w:pPr>
    </w:p>
    <w:p w:rsidR="00AF5145" w:rsidRDefault="00AF5145">
      <w:pPr>
        <w:spacing w:line="500" w:lineRule="exact"/>
        <w:rPr>
          <w:rFonts w:ascii="仿宋_GB2312" w:eastAsia="仿宋_GB2312" w:hAnsi="宋体" w:cs="宋体"/>
          <w:kern w:val="0"/>
          <w:sz w:val="32"/>
          <w:szCs w:val="32"/>
        </w:rPr>
      </w:pPr>
    </w:p>
    <w:p w:rsidR="00AF5145" w:rsidRDefault="00360E1E">
      <w:pPr>
        <w:spacing w:line="540" w:lineRule="exact"/>
        <w:jc w:val="center"/>
        <w:rPr>
          <w:rFonts w:ascii="黑体" w:eastAsia="黑体" w:hAnsi="黑体"/>
          <w:sz w:val="32"/>
          <w:szCs w:val="32"/>
        </w:rPr>
      </w:pPr>
      <w:r>
        <w:rPr>
          <w:rFonts w:ascii="黑体" w:eastAsia="黑体" w:hAnsi="黑体" w:hint="eastAsia"/>
          <w:sz w:val="32"/>
          <w:szCs w:val="32"/>
        </w:rPr>
        <w:t>第二部分 部门决算情况说明</w:t>
      </w:r>
    </w:p>
    <w:p w:rsidR="00AF5145" w:rsidRDefault="00360E1E">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AF5145" w:rsidRDefault="00360E1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AF5145" w:rsidRDefault="00360E1E">
      <w:pPr>
        <w:spacing w:line="540" w:lineRule="exact"/>
        <w:ind w:firstLineChars="200" w:firstLine="640"/>
        <w:rPr>
          <w:rFonts w:ascii="仿宋_GB2312" w:eastAsia="仿宋_GB2312" w:hAnsi="Calibri"/>
          <w:color w:val="000000" w:themeColor="text1"/>
          <w:sz w:val="32"/>
          <w:szCs w:val="32"/>
          <w:lang w:val="en-GB"/>
        </w:rPr>
      </w:pPr>
      <w:bookmarkStart w:id="4" w:name="OLE_LINK99"/>
      <w:bookmarkStart w:id="5" w:name="OLE_LINK100"/>
      <w:bookmarkStart w:id="6" w:name="OLE_LINK52"/>
      <w:r>
        <w:rPr>
          <w:rFonts w:ascii="仿宋_GB2312" w:eastAsia="仿宋_GB2312" w:hint="eastAsia"/>
          <w:color w:val="000000" w:themeColor="text1"/>
          <w:sz w:val="32"/>
          <w:szCs w:val="32"/>
        </w:rPr>
        <w:t>2018年度收入</w:t>
      </w:r>
      <w:r>
        <w:rPr>
          <w:rFonts w:ascii="仿宋_GB2312" w:eastAsia="仿宋_GB2312" w:hint="eastAsia"/>
          <w:sz w:val="32"/>
          <w:szCs w:val="32"/>
        </w:rPr>
        <w:t>3,758.53</w:t>
      </w:r>
      <w:r>
        <w:rPr>
          <w:rFonts w:ascii="仿宋_GB2312" w:eastAsia="仿宋_GB2312" w:hint="eastAsia"/>
          <w:color w:val="000000" w:themeColor="text1"/>
          <w:sz w:val="32"/>
          <w:szCs w:val="32"/>
        </w:rPr>
        <w:t>万元</w:t>
      </w:r>
      <w:bookmarkEnd w:id="4"/>
      <w:bookmarkEnd w:id="5"/>
      <w:r>
        <w:rPr>
          <w:rFonts w:ascii="仿宋_GB2312" w:eastAsia="仿宋_GB2312" w:hint="eastAsia"/>
          <w:sz w:val="32"/>
          <w:szCs w:val="32"/>
        </w:rPr>
        <w:t>，与上年相比，减少4,493.44万元，下降54.45%，减少的主要原因是：</w:t>
      </w:r>
      <w:r>
        <w:rPr>
          <w:rFonts w:ascii="仿宋_GB2312" w:eastAsia="仿宋_GB2312" w:hint="eastAsia"/>
          <w:color w:val="000000" w:themeColor="text1"/>
          <w:sz w:val="32"/>
          <w:szCs w:val="32"/>
        </w:rPr>
        <w:t>本年各项经费压缩，其他收入减少；</w:t>
      </w:r>
      <w:bookmarkStart w:id="7" w:name="OLE_LINK53"/>
      <w:bookmarkEnd w:id="6"/>
      <w:r>
        <w:rPr>
          <w:rFonts w:ascii="仿宋_GB2312" w:eastAsia="仿宋_GB2312" w:hint="eastAsia"/>
          <w:color w:val="000000" w:themeColor="text1"/>
          <w:sz w:val="32"/>
          <w:szCs w:val="32"/>
        </w:rPr>
        <w:t>支出</w:t>
      </w:r>
      <w:r>
        <w:rPr>
          <w:rFonts w:ascii="仿宋_GB2312" w:eastAsia="仿宋_GB2312" w:hint="eastAsia"/>
          <w:sz w:val="32"/>
          <w:szCs w:val="32"/>
        </w:rPr>
        <w:t>5,148.53</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，与上年相比，减少1,713.44万元，下降24.97%，减少的主要原因是：</w:t>
      </w:r>
      <w:r>
        <w:rPr>
          <w:rFonts w:ascii="仿宋_GB2312" w:eastAsia="仿宋_GB2312" w:hint="eastAsia"/>
          <w:color w:val="000000" w:themeColor="text1"/>
          <w:sz w:val="32"/>
          <w:szCs w:val="32"/>
        </w:rPr>
        <w:t>本年各项经费压缩，其他支出减少；</w:t>
      </w:r>
      <w:bookmarkStart w:id="8" w:name="OLE_LINK54"/>
      <w:bookmarkEnd w:id="7"/>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，与上年相比，减少1,390万元，下降100%，减少的主要原因是：</w:t>
      </w:r>
      <w:r>
        <w:rPr>
          <w:rFonts w:ascii="仿宋_GB2312" w:eastAsia="仿宋_GB2312"/>
          <w:color w:val="000000" w:themeColor="text1"/>
          <w:sz w:val="32"/>
          <w:szCs w:val="32"/>
        </w:rPr>
        <w:t>本年项目执行到位，无结余结转。</w:t>
      </w:r>
      <w:bookmarkEnd w:id="8"/>
    </w:p>
    <w:p w:rsidR="00AF5145" w:rsidRDefault="00360E1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AF5145" w:rsidRDefault="00360E1E">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3,758.53</w:t>
      </w:r>
      <w:r>
        <w:rPr>
          <w:rFonts w:ascii="仿宋_GB2312" w:eastAsia="仿宋_GB2312" w:hint="eastAsia"/>
          <w:color w:val="000000" w:themeColor="text1"/>
          <w:sz w:val="32"/>
          <w:szCs w:val="32"/>
        </w:rPr>
        <w:t>万元，其中：</w:t>
      </w:r>
      <w:bookmarkStart w:id="9" w:name="OLE_LINK1"/>
      <w:r>
        <w:rPr>
          <w:rFonts w:ascii="仿宋_GB2312" w:eastAsia="仿宋_GB2312" w:hint="eastAsia"/>
          <w:color w:val="000000" w:themeColor="text1"/>
          <w:sz w:val="32"/>
          <w:szCs w:val="32"/>
        </w:rPr>
        <w:t>财政拨款收入</w:t>
      </w:r>
      <w:bookmarkEnd w:id="9"/>
      <w:r>
        <w:rPr>
          <w:rFonts w:ascii="仿宋_GB2312" w:eastAsia="仿宋_GB2312" w:hint="eastAsia"/>
          <w:sz w:val="32"/>
          <w:szCs w:val="32"/>
        </w:rPr>
        <w:t>3,434.17</w:t>
      </w:r>
      <w:r>
        <w:rPr>
          <w:rFonts w:ascii="仿宋_GB2312" w:eastAsia="仿宋_GB2312" w:hint="eastAsia"/>
          <w:color w:val="000000" w:themeColor="text1"/>
          <w:sz w:val="32"/>
          <w:szCs w:val="32"/>
        </w:rPr>
        <w:t>万元，占</w:t>
      </w:r>
      <w:r>
        <w:rPr>
          <w:rFonts w:ascii="仿宋_GB2312" w:eastAsia="仿宋_GB2312" w:hint="eastAsia"/>
          <w:sz w:val="32"/>
          <w:szCs w:val="32"/>
        </w:rPr>
        <w:t>91.37%</w:t>
      </w:r>
      <w:r>
        <w:rPr>
          <w:rFonts w:ascii="仿宋_GB2312" w:eastAsia="仿宋_GB2312" w:hint="eastAsia"/>
          <w:color w:val="000000" w:themeColor="text1"/>
          <w:sz w:val="32"/>
          <w:szCs w:val="32"/>
        </w:rPr>
        <w:t>；</w:t>
      </w:r>
      <w:bookmarkStart w:id="10" w:name="OLE_LINK2"/>
      <w:r>
        <w:rPr>
          <w:rFonts w:ascii="仿宋_GB2312" w:eastAsia="仿宋_GB2312" w:hint="eastAsia"/>
          <w:color w:val="000000" w:themeColor="text1"/>
          <w:sz w:val="32"/>
          <w:szCs w:val="32"/>
        </w:rPr>
        <w:t>上级补助收入</w:t>
      </w:r>
      <w:bookmarkEnd w:id="1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1" w:name="OLE_LINK3"/>
      <w:r>
        <w:rPr>
          <w:rFonts w:ascii="仿宋_GB2312" w:eastAsia="仿宋_GB2312" w:hint="eastAsia"/>
          <w:color w:val="000000" w:themeColor="text1"/>
          <w:sz w:val="32"/>
          <w:szCs w:val="32"/>
        </w:rPr>
        <w:t>事业收入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4"/>
      <w:r>
        <w:rPr>
          <w:rFonts w:ascii="仿宋_GB2312" w:eastAsia="仿宋_GB2312" w:hint="eastAsia"/>
          <w:color w:val="000000" w:themeColor="text1"/>
          <w:sz w:val="32"/>
          <w:szCs w:val="32"/>
        </w:rPr>
        <w:t>经营收入</w:t>
      </w:r>
      <w:bookmarkEnd w:id="1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3" w:name="OLE_LINK5"/>
      <w:r>
        <w:rPr>
          <w:rFonts w:ascii="仿宋_GB2312" w:eastAsia="仿宋_GB2312" w:hint="eastAsia"/>
          <w:color w:val="000000" w:themeColor="text1"/>
          <w:sz w:val="32"/>
          <w:szCs w:val="32"/>
        </w:rPr>
        <w:t>附属单位缴款</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6"/>
      <w:r>
        <w:rPr>
          <w:rFonts w:ascii="仿宋_GB2312" w:eastAsia="仿宋_GB2312" w:hint="eastAsia"/>
          <w:color w:val="000000" w:themeColor="text1"/>
          <w:sz w:val="32"/>
          <w:szCs w:val="32"/>
        </w:rPr>
        <w:t>其他收入</w:t>
      </w:r>
      <w:bookmarkEnd w:id="14"/>
      <w:r>
        <w:rPr>
          <w:rFonts w:ascii="仿宋_GB2312" w:eastAsia="仿宋_GB2312" w:hint="eastAsia"/>
          <w:sz w:val="32"/>
          <w:szCs w:val="32"/>
        </w:rPr>
        <w:t>324.36</w:t>
      </w:r>
      <w:r>
        <w:rPr>
          <w:rFonts w:ascii="仿宋_GB2312" w:eastAsia="仿宋_GB2312" w:hint="eastAsia"/>
          <w:color w:val="000000" w:themeColor="text1"/>
          <w:sz w:val="32"/>
          <w:szCs w:val="32"/>
        </w:rPr>
        <w:t>万元，占</w:t>
      </w:r>
      <w:r>
        <w:rPr>
          <w:rFonts w:ascii="仿宋_GB2312" w:eastAsia="仿宋_GB2312" w:hint="eastAsia"/>
          <w:sz w:val="32"/>
          <w:szCs w:val="32"/>
        </w:rPr>
        <w:t>8.63%</w:t>
      </w:r>
      <w:r>
        <w:rPr>
          <w:rFonts w:ascii="仿宋_GB2312" w:eastAsia="仿宋_GB2312" w:hint="eastAsia"/>
          <w:color w:val="000000" w:themeColor="text1"/>
          <w:sz w:val="32"/>
          <w:szCs w:val="32"/>
        </w:rPr>
        <w:t>。</w:t>
      </w:r>
    </w:p>
    <w:p w:rsidR="00AF5145" w:rsidRDefault="00360E1E">
      <w:pPr>
        <w:spacing w:line="540" w:lineRule="exact"/>
        <w:ind w:firstLineChars="200" w:firstLine="640"/>
        <w:rPr>
          <w:rFonts w:ascii="仿宋_GB2312" w:eastAsia="仿宋_GB2312"/>
          <w:sz w:val="32"/>
          <w:szCs w:val="32"/>
        </w:rPr>
      </w:pPr>
      <w:bookmarkStart w:id="15"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况：本年收入年初预算数2,198.94万元</w:t>
      </w:r>
      <w:r>
        <w:rPr>
          <w:rFonts w:ascii="仿宋_GB2312" w:eastAsia="仿宋_GB2312" w:hint="eastAsia"/>
          <w:sz w:val="32"/>
          <w:szCs w:val="32"/>
        </w:rPr>
        <w:t>，决算数3,758.53万元</w:t>
      </w:r>
      <w:r>
        <w:rPr>
          <w:rFonts w:ascii="仿宋_GB2312" w:eastAsia="仿宋_GB2312"/>
          <w:sz w:val="32"/>
          <w:szCs w:val="32"/>
        </w:rPr>
        <w:t>，预决算差异率70.92%，差异主要原因是由于惠农补贴项目增多，补贴收入增加，预算为列支。</w:t>
      </w:r>
      <w:bookmarkEnd w:id="15"/>
    </w:p>
    <w:p w:rsidR="00AF5145" w:rsidRDefault="00360E1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lastRenderedPageBreak/>
        <w:t>（三）部门支出总体情况说明</w:t>
      </w:r>
    </w:p>
    <w:p w:rsidR="00AF5145" w:rsidRDefault="00360E1E">
      <w:pPr>
        <w:spacing w:line="540" w:lineRule="exact"/>
        <w:ind w:firstLineChars="200" w:firstLine="640"/>
        <w:rPr>
          <w:rFonts w:ascii="仿宋_GB2312" w:eastAsia="仿宋_GB2312"/>
          <w:color w:val="000000" w:themeColor="text1"/>
          <w:spacing w:val="-6"/>
          <w:sz w:val="32"/>
          <w:szCs w:val="32"/>
        </w:rPr>
      </w:pPr>
      <w:bookmarkStart w:id="16" w:name="OLE_LINK7"/>
      <w:r>
        <w:rPr>
          <w:rFonts w:ascii="仿宋_GB2312" w:eastAsia="仿宋_GB2312" w:hint="eastAsia"/>
          <w:color w:val="000000" w:themeColor="text1"/>
          <w:sz w:val="32"/>
          <w:szCs w:val="32"/>
        </w:rPr>
        <w:t>本年支出合计</w:t>
      </w:r>
      <w:bookmarkEnd w:id="16"/>
      <w:r>
        <w:rPr>
          <w:rFonts w:ascii="仿宋_GB2312" w:eastAsia="仿宋_GB2312" w:hint="eastAsia"/>
          <w:sz w:val="32"/>
          <w:szCs w:val="32"/>
        </w:rPr>
        <w:t>5,148.53</w:t>
      </w:r>
      <w:r>
        <w:rPr>
          <w:rFonts w:ascii="仿宋_GB2312" w:eastAsia="仿宋_GB2312" w:hint="eastAsia"/>
          <w:color w:val="000000" w:themeColor="text1"/>
          <w:sz w:val="32"/>
          <w:szCs w:val="32"/>
        </w:rPr>
        <w:t>万元，其中：</w:t>
      </w:r>
      <w:bookmarkStart w:id="17" w:name="OLE_LINK8"/>
      <w:r>
        <w:rPr>
          <w:rFonts w:ascii="仿宋_GB2312" w:eastAsia="仿宋_GB2312" w:hint="eastAsia"/>
          <w:color w:val="000000" w:themeColor="text1"/>
          <w:sz w:val="32"/>
          <w:szCs w:val="32"/>
        </w:rPr>
        <w:t>基本支出</w:t>
      </w:r>
      <w:bookmarkEnd w:id="17"/>
      <w:r>
        <w:rPr>
          <w:rFonts w:ascii="仿宋_GB2312" w:eastAsia="仿宋_GB2312" w:hint="eastAsia"/>
          <w:sz w:val="32"/>
          <w:szCs w:val="32"/>
        </w:rPr>
        <w:t>2,669.74</w:t>
      </w:r>
      <w:r>
        <w:rPr>
          <w:rFonts w:ascii="仿宋_GB2312" w:eastAsia="仿宋_GB2312" w:hint="eastAsia"/>
          <w:color w:val="000000" w:themeColor="text1"/>
          <w:sz w:val="32"/>
          <w:szCs w:val="32"/>
        </w:rPr>
        <w:t>万元，占</w:t>
      </w:r>
      <w:r>
        <w:rPr>
          <w:rFonts w:ascii="仿宋_GB2312" w:eastAsia="仿宋_GB2312" w:hint="eastAsia"/>
          <w:sz w:val="32"/>
          <w:szCs w:val="32"/>
        </w:rPr>
        <w:t>51.85%</w:t>
      </w:r>
      <w:r>
        <w:rPr>
          <w:rFonts w:ascii="仿宋_GB2312" w:eastAsia="仿宋_GB2312" w:hint="eastAsia"/>
          <w:color w:val="000000" w:themeColor="text1"/>
          <w:sz w:val="32"/>
          <w:szCs w:val="32"/>
        </w:rPr>
        <w:t>；</w:t>
      </w:r>
      <w:bookmarkStart w:id="18" w:name="OLE_LINK9"/>
      <w:r>
        <w:rPr>
          <w:rFonts w:ascii="仿宋_GB2312" w:eastAsia="仿宋_GB2312" w:hint="eastAsia"/>
          <w:color w:val="000000" w:themeColor="text1"/>
          <w:sz w:val="32"/>
          <w:szCs w:val="32"/>
        </w:rPr>
        <w:t>项目支出</w:t>
      </w:r>
      <w:bookmarkEnd w:id="18"/>
      <w:r>
        <w:rPr>
          <w:rFonts w:ascii="仿宋_GB2312" w:eastAsia="仿宋_GB2312" w:hint="eastAsia"/>
          <w:sz w:val="32"/>
          <w:szCs w:val="32"/>
        </w:rPr>
        <w:t>2,478.79</w:t>
      </w:r>
      <w:r>
        <w:rPr>
          <w:rFonts w:ascii="仿宋_GB2312" w:eastAsia="仿宋_GB2312" w:hint="eastAsia"/>
          <w:color w:val="000000" w:themeColor="text1"/>
          <w:sz w:val="32"/>
          <w:szCs w:val="32"/>
        </w:rPr>
        <w:t>万元，占</w:t>
      </w:r>
      <w:r>
        <w:rPr>
          <w:rFonts w:ascii="仿宋_GB2312" w:eastAsia="仿宋_GB2312" w:hint="eastAsia"/>
          <w:sz w:val="32"/>
          <w:szCs w:val="32"/>
        </w:rPr>
        <w:t>48.15%</w:t>
      </w:r>
      <w:r>
        <w:rPr>
          <w:rFonts w:ascii="仿宋_GB2312" w:eastAsia="仿宋_GB2312" w:hint="eastAsia"/>
          <w:color w:val="000000" w:themeColor="text1"/>
          <w:sz w:val="32"/>
          <w:szCs w:val="32"/>
        </w:rPr>
        <w:t>；</w:t>
      </w:r>
      <w:bookmarkStart w:id="19" w:name="OLE_LINK10"/>
      <w:r>
        <w:rPr>
          <w:rFonts w:ascii="仿宋_GB2312" w:eastAsia="仿宋_GB2312" w:hint="eastAsia"/>
          <w:color w:val="000000" w:themeColor="text1"/>
          <w:sz w:val="32"/>
          <w:szCs w:val="32"/>
        </w:rPr>
        <w:t>上缴上级支出</w:t>
      </w:r>
      <w:bookmarkEnd w:id="19"/>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0" w:name="OLE_LINK11"/>
      <w:r>
        <w:rPr>
          <w:rFonts w:ascii="仿宋_GB2312" w:eastAsia="仿宋_GB2312" w:hint="eastAsia"/>
          <w:color w:val="000000" w:themeColor="text1"/>
          <w:spacing w:val="-6"/>
          <w:sz w:val="32"/>
          <w:szCs w:val="32"/>
        </w:rPr>
        <w:t>经营支出</w:t>
      </w:r>
      <w:bookmarkEnd w:id="20"/>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1" w:name="OLE_LINK12"/>
      <w:r>
        <w:rPr>
          <w:rFonts w:ascii="仿宋_GB2312" w:eastAsia="仿宋_GB2312" w:hint="eastAsia"/>
          <w:color w:val="000000" w:themeColor="text1"/>
          <w:spacing w:val="-6"/>
          <w:sz w:val="32"/>
          <w:szCs w:val="32"/>
        </w:rPr>
        <w:t>对附属单位补助支出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AF5145" w:rsidRDefault="00360E1E">
      <w:pPr>
        <w:spacing w:line="540" w:lineRule="exact"/>
        <w:ind w:firstLineChars="200" w:firstLine="640"/>
        <w:rPr>
          <w:rFonts w:ascii="仿宋_GB2312" w:eastAsia="仿宋_GB2312"/>
          <w:sz w:val="32"/>
          <w:szCs w:val="32"/>
        </w:rPr>
      </w:pPr>
      <w:bookmarkStart w:id="22" w:name="OLE_LINK56"/>
      <w:r>
        <w:rPr>
          <w:rFonts w:ascii="仿宋_GB2312" w:eastAsia="仿宋_GB2312" w:hint="eastAsia"/>
          <w:color w:val="000000" w:themeColor="text1"/>
          <w:sz w:val="32"/>
          <w:szCs w:val="32"/>
        </w:rPr>
        <w:t>与年初预算数相比情况：本年支出年初预算数2,198.94万元，</w:t>
      </w:r>
      <w:r>
        <w:rPr>
          <w:rFonts w:ascii="仿宋_GB2312" w:eastAsia="仿宋_GB2312" w:hint="eastAsia"/>
          <w:sz w:val="32"/>
          <w:szCs w:val="32"/>
        </w:rPr>
        <w:t>决算数5,148.53万元</w:t>
      </w:r>
      <w:r>
        <w:rPr>
          <w:rFonts w:ascii="仿宋_GB2312" w:eastAsia="仿宋_GB2312"/>
          <w:sz w:val="32"/>
          <w:szCs w:val="32"/>
        </w:rPr>
        <w:t>，预决算差异率134.14%，差异主要原因是由于惠农补贴项目增多，补贴支出增加，预算为列支。</w:t>
      </w:r>
    </w:p>
    <w:bookmarkEnd w:id="22"/>
    <w:p w:rsidR="00AF5145" w:rsidRDefault="00360E1E">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AF5145" w:rsidRDefault="00360E1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AF5145" w:rsidRDefault="00360E1E">
      <w:pPr>
        <w:spacing w:line="540" w:lineRule="exact"/>
        <w:ind w:firstLineChars="200" w:firstLine="640"/>
        <w:rPr>
          <w:rFonts w:ascii="仿宋_GB2312" w:eastAsia="仿宋_GB2312"/>
          <w:color w:val="000000" w:themeColor="text1"/>
          <w:sz w:val="32"/>
          <w:szCs w:val="32"/>
        </w:rPr>
      </w:pPr>
      <w:bookmarkStart w:id="23" w:name="OLE_LINK58"/>
      <w:bookmarkStart w:id="24" w:name="OLE_LINK57"/>
      <w:r>
        <w:rPr>
          <w:rFonts w:ascii="仿宋_GB2312" w:eastAsia="仿宋_GB2312" w:hint="eastAsia"/>
          <w:color w:val="000000" w:themeColor="text1"/>
          <w:sz w:val="32"/>
          <w:szCs w:val="32"/>
        </w:rPr>
        <w:t>2018年度</w:t>
      </w:r>
      <w:bookmarkStart w:id="25" w:name="OLE_LINK13"/>
      <w:r>
        <w:rPr>
          <w:rFonts w:ascii="仿宋_GB2312" w:eastAsia="仿宋_GB2312" w:hint="eastAsia"/>
          <w:color w:val="000000" w:themeColor="text1"/>
          <w:sz w:val="32"/>
          <w:szCs w:val="32"/>
        </w:rPr>
        <w:t>财政拨款收入</w:t>
      </w:r>
      <w:bookmarkEnd w:id="25"/>
      <w:r>
        <w:rPr>
          <w:rFonts w:ascii="仿宋_GB2312" w:eastAsia="仿宋_GB2312" w:hint="eastAsia"/>
          <w:sz w:val="32"/>
          <w:szCs w:val="32"/>
        </w:rPr>
        <w:t>3,434.17</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，与上年相比，减少3,427.8万元，下降49.95%，减少的主要原因是：本年各项经费压缩，其他收入减少。</w:t>
      </w:r>
      <w:bookmarkStart w:id="26" w:name="OLE_LINK14"/>
      <w:bookmarkStart w:id="27" w:name="OLE_LINK60"/>
      <w:bookmarkStart w:id="28" w:name="OLE_LINK59"/>
      <w:bookmarkEnd w:id="23"/>
      <w:bookmarkEnd w:id="24"/>
      <w:r>
        <w:rPr>
          <w:rFonts w:ascii="仿宋_GB2312" w:eastAsia="仿宋_GB2312" w:hint="eastAsia"/>
          <w:color w:val="000000" w:themeColor="text1"/>
          <w:sz w:val="32"/>
          <w:szCs w:val="32"/>
        </w:rPr>
        <w:t>财政拨款支出</w:t>
      </w:r>
      <w:bookmarkEnd w:id="26"/>
      <w:r>
        <w:rPr>
          <w:rFonts w:ascii="仿宋_GB2312" w:eastAsia="仿宋_GB2312" w:hint="eastAsia"/>
          <w:sz w:val="32"/>
          <w:szCs w:val="32"/>
        </w:rPr>
        <w:t>3,434.17</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，与上年相比，减少3,427.8万元，下降49.95%，减少的主要原因是：</w:t>
      </w:r>
      <w:r>
        <w:rPr>
          <w:rFonts w:ascii="仿宋_GB2312" w:eastAsia="仿宋_GB2312"/>
          <w:sz w:val="32"/>
          <w:szCs w:val="32"/>
        </w:rPr>
        <w:t>本年各项经费压缩，其他支出减少。</w:t>
      </w:r>
      <w:bookmarkStart w:id="29" w:name="OLE_LINK61"/>
      <w:bookmarkEnd w:id="27"/>
      <w:bookmarkEnd w:id="28"/>
      <w:r>
        <w:rPr>
          <w:rFonts w:ascii="仿宋_GB2312" w:eastAsia="仿宋_GB2312" w:hint="eastAsia"/>
          <w:color w:val="000000" w:themeColor="text1"/>
          <w:sz w:val="32"/>
          <w:szCs w:val="32"/>
        </w:rPr>
        <w:t>其中：</w:t>
      </w:r>
      <w:bookmarkStart w:id="30" w:name="OLE_LINK15"/>
      <w:r>
        <w:rPr>
          <w:rFonts w:ascii="仿宋_GB2312" w:eastAsia="仿宋_GB2312" w:hint="eastAsia"/>
          <w:color w:val="000000" w:themeColor="text1"/>
          <w:sz w:val="32"/>
          <w:szCs w:val="32"/>
        </w:rPr>
        <w:t>基本支出</w:t>
      </w:r>
      <w:bookmarkEnd w:id="30"/>
      <w:r>
        <w:rPr>
          <w:rFonts w:ascii="仿宋_GB2312" w:eastAsia="仿宋_GB2312" w:hint="eastAsia"/>
          <w:sz w:val="32"/>
          <w:szCs w:val="32"/>
        </w:rPr>
        <w:t>2,587.56</w:t>
      </w:r>
      <w:r>
        <w:rPr>
          <w:rFonts w:ascii="仿宋_GB2312" w:eastAsia="仿宋_GB2312" w:hint="eastAsia"/>
          <w:color w:val="000000" w:themeColor="text1"/>
          <w:sz w:val="32"/>
          <w:szCs w:val="32"/>
        </w:rPr>
        <w:t>万元，项目支出</w:t>
      </w:r>
      <w:r>
        <w:rPr>
          <w:rFonts w:ascii="仿宋_GB2312" w:eastAsia="仿宋_GB2312" w:hint="eastAsia"/>
          <w:sz w:val="32"/>
          <w:szCs w:val="32"/>
        </w:rPr>
        <w:t>846.61</w:t>
      </w:r>
      <w:r>
        <w:rPr>
          <w:rFonts w:ascii="仿宋_GB2312" w:eastAsia="仿宋_GB2312" w:hint="eastAsia"/>
          <w:color w:val="000000" w:themeColor="text1"/>
          <w:sz w:val="32"/>
          <w:szCs w:val="32"/>
        </w:rPr>
        <w:t>万元。</w:t>
      </w:r>
      <w:bookmarkStart w:id="31" w:name="OLE_LINK16"/>
      <w:r>
        <w:rPr>
          <w:rFonts w:ascii="仿宋_GB2312" w:eastAsia="仿宋_GB2312" w:hint="eastAsia"/>
          <w:color w:val="000000" w:themeColor="text1"/>
          <w:sz w:val="32"/>
          <w:szCs w:val="32"/>
        </w:rPr>
        <w:t>财政拨款结转结余</w:t>
      </w:r>
      <w:bookmarkEnd w:id="31"/>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sidR="00A6182F">
        <w:rPr>
          <w:rFonts w:ascii="仿宋_GB2312" w:eastAsia="仿宋_GB2312" w:hint="eastAsia"/>
          <w:sz w:val="32"/>
          <w:szCs w:val="32"/>
        </w:rPr>
        <w:t>，</w:t>
      </w:r>
      <w:r w:rsidR="00A6182F" w:rsidRPr="00A6182F">
        <w:rPr>
          <w:rFonts w:ascii="仿宋_GB2312" w:eastAsia="仿宋_GB2312" w:hint="eastAsia"/>
          <w:sz w:val="32"/>
          <w:szCs w:val="32"/>
        </w:rPr>
        <w:t>增加0万元，增长0%</w:t>
      </w:r>
      <w:r>
        <w:rPr>
          <w:rFonts w:ascii="仿宋_GB2312" w:eastAsia="仿宋_GB2312" w:hint="eastAsia"/>
          <w:sz w:val="32"/>
          <w:szCs w:val="32"/>
        </w:rPr>
        <w:t>，主要原因是：本年项目执行到位，年末无结余结转。</w:t>
      </w:r>
      <w:bookmarkEnd w:id="29"/>
    </w:p>
    <w:p w:rsidR="00AF5145" w:rsidRDefault="00360E1E">
      <w:pPr>
        <w:spacing w:line="540" w:lineRule="exact"/>
        <w:ind w:firstLineChars="200" w:firstLine="640"/>
        <w:rPr>
          <w:rFonts w:ascii="仿宋_GB2312" w:eastAsia="仿宋_GB2312"/>
          <w:color w:val="000000" w:themeColor="text1"/>
          <w:sz w:val="32"/>
          <w:szCs w:val="32"/>
        </w:rPr>
      </w:pPr>
      <w:bookmarkStart w:id="32"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2</w:t>
      </w:r>
      <w:bookmarkStart w:id="33" w:name="_GoBack"/>
      <w:bookmarkEnd w:id="33"/>
      <w:r>
        <w:rPr>
          <w:rFonts w:ascii="仿宋_GB2312" w:eastAsia="仿宋_GB2312"/>
          <w:color w:val="000000" w:themeColor="text1"/>
          <w:sz w:val="32"/>
          <w:szCs w:val="32"/>
        </w:rPr>
        <w:t>,198.94</w:t>
      </w:r>
      <w:r>
        <w:rPr>
          <w:rFonts w:ascii="仿宋_GB2312" w:eastAsia="仿宋_GB2312" w:hint="eastAsia"/>
          <w:color w:val="000000" w:themeColor="text1"/>
          <w:sz w:val="32"/>
          <w:szCs w:val="32"/>
        </w:rPr>
        <w:t>万元，决算数</w:t>
      </w:r>
      <w:r>
        <w:rPr>
          <w:rFonts w:ascii="仿宋_GB2312" w:eastAsia="仿宋_GB2312" w:hint="eastAsia"/>
          <w:sz w:val="32"/>
          <w:szCs w:val="32"/>
        </w:rPr>
        <w:t>3,434.17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，预决算差异率56.17%，差异主要原因是由于惠农补贴项目增多，补贴收入增加，预算为列支。</w:t>
      </w:r>
      <w:bookmarkStart w:id="34" w:name="OLE_LINK63"/>
      <w:bookmarkEnd w:id="32"/>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2,198.94</w:t>
      </w:r>
      <w:r>
        <w:rPr>
          <w:rFonts w:ascii="仿宋_GB2312" w:eastAsia="仿宋_GB2312" w:hint="eastAsia"/>
          <w:color w:val="000000" w:themeColor="text1"/>
          <w:sz w:val="32"/>
          <w:szCs w:val="32"/>
        </w:rPr>
        <w:t>万元，决算数</w:t>
      </w:r>
      <w:r>
        <w:rPr>
          <w:rFonts w:ascii="仿宋_GB2312" w:eastAsia="仿宋_GB2312" w:hint="eastAsia"/>
          <w:sz w:val="32"/>
          <w:szCs w:val="32"/>
        </w:rPr>
        <w:t>3,434.17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，预决算差异率56.17%，差异主要原因是由于惠农补贴项目增多，补贴支出增加，预算为列支。</w:t>
      </w:r>
      <w:bookmarkEnd w:id="34"/>
    </w:p>
    <w:p w:rsidR="00AF5145" w:rsidRDefault="00360E1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lastRenderedPageBreak/>
        <w:t>（二）一般公共预算收支决算情况说明</w:t>
      </w:r>
    </w:p>
    <w:p w:rsidR="00AF5145" w:rsidRDefault="00360E1E">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t>2018年度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3,431.31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，与上年相比，减少3,376.66万元，下降49.6%，减少的主要原因是：本年各项经费压缩，其他收入减少。</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3,431.31</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，与上年相比，减少3,376.66万元，下降49.6%，减少的主要原因是：本年各项经费压缩，其他收入减少。</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国土海洋气象等支出16.08万元,住房保障支出171.1万元,一般公共服务支出2,230.6万元,农林水支出380.77万元,公共安全支出254.96万元,文化体育与传媒支出8.48万元,其他支出156万元,社会保障和就业支出213.33万元。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工资福利支出1,919.61万元,商品和服务支出282.01万元,对个人和家庭的补助支出937.34万元,资本性支出292.35万元。</w:t>
      </w:r>
    </w:p>
    <w:p w:rsidR="00AF5145" w:rsidRDefault="00360E1E">
      <w:pPr>
        <w:spacing w:line="540" w:lineRule="exact"/>
        <w:ind w:firstLineChars="200" w:firstLine="640"/>
        <w:rPr>
          <w:rFonts w:ascii="仿宋_GB2312" w:eastAsia="仿宋_GB2312"/>
          <w:color w:val="000000" w:themeColor="text1"/>
          <w:sz w:val="32"/>
          <w:szCs w:val="32"/>
        </w:rPr>
      </w:pPr>
      <w:bookmarkStart w:id="42" w:name="OLE_LINK67"/>
      <w:bookmarkStart w:id="43" w:name="OLE_LINK66"/>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2,198.94</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3,431.31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，预决算差异率56.04%，差异主要原因是由于惠农补贴项目增多，补贴收入增加，预算为列支。</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2,198.94</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3,431.31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，预决算差异率56.04%，差异主要原因是由于惠农补贴项目增多，补贴支出增加，预算为列支。</w:t>
      </w:r>
      <w:bookmarkEnd w:id="44"/>
    </w:p>
    <w:p w:rsidR="00AF5145" w:rsidRDefault="00360E1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AF5145" w:rsidRDefault="00360E1E">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2018年度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2.86</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，与上年相比，减少51.14万元，降低94.7%，增减变化的主要原因是：新增项目，用于贫困户庭院经济。</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2.86</w:t>
      </w:r>
      <w:r>
        <w:rPr>
          <w:rFonts w:ascii="仿宋_GB2312" w:eastAsia="仿宋_GB2312" w:hint="eastAsia"/>
          <w:color w:val="000000" w:themeColor="text1"/>
          <w:sz w:val="32"/>
          <w:szCs w:val="32"/>
        </w:rPr>
        <w:t>万元</w:t>
      </w:r>
      <w:r>
        <w:rPr>
          <w:rFonts w:ascii="仿宋_GB2312" w:eastAsia="仿宋_GB2312" w:hint="eastAsia"/>
          <w:sz w:val="32"/>
          <w:szCs w:val="32"/>
        </w:rPr>
        <w:t>，与上</w:t>
      </w:r>
      <w:r>
        <w:rPr>
          <w:rFonts w:ascii="仿宋_GB2312" w:eastAsia="仿宋_GB2312" w:hint="eastAsia"/>
          <w:sz w:val="32"/>
          <w:szCs w:val="32"/>
        </w:rPr>
        <w:lastRenderedPageBreak/>
        <w:t>年相比，减少51.14万元，降低94.7%，增减变化的主要原因是：政府性基金项目变动，预算执行金额加少。</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，其他支出2.86万元。按经济分类科目（按类级科目公开），对个人和家庭的补助2.86万元。</w:t>
      </w:r>
    </w:p>
    <w:p w:rsidR="00AF5145" w:rsidRDefault="00360E1E">
      <w:pPr>
        <w:spacing w:line="540" w:lineRule="exact"/>
        <w:ind w:firstLineChars="200" w:firstLine="640"/>
        <w:rPr>
          <w:rFonts w:ascii="仿宋_GB2312" w:eastAsia="仿宋_GB2312"/>
          <w:color w:val="000000" w:themeColor="text1"/>
          <w:sz w:val="32"/>
          <w:szCs w:val="32"/>
        </w:rPr>
      </w:pPr>
      <w:bookmarkStart w:id="50" w:name="OLE_LINK72"/>
      <w:bookmarkStart w:id="51" w:name="OLE_LINK71"/>
      <w:r>
        <w:rPr>
          <w:rFonts w:ascii="仿宋_GB2312" w:eastAsia="仿宋_GB2312" w:hint="eastAsia"/>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2.86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，预决算差异率100%，差异主要原因是政府性基金项目变动，预算执行金额加少。</w:t>
      </w:r>
      <w:bookmarkStart w:id="52" w:name="OLE_LINK73"/>
      <w:bookmarkEnd w:id="50"/>
      <w:bookmarkEnd w:id="51"/>
      <w:r>
        <w:rPr>
          <w:rFonts w:ascii="仿宋_GB2312" w:eastAsia="仿宋_GB2312" w:hint="eastAsia"/>
          <w:color w:val="000000" w:themeColor="text1"/>
          <w:sz w:val="32"/>
          <w:szCs w:val="32"/>
        </w:rPr>
        <w:t>政府性基金预算财政拨款支出年初预算数0万元，决算数</w:t>
      </w:r>
      <w:r>
        <w:rPr>
          <w:rFonts w:ascii="仿宋_GB2312" w:eastAsia="仿宋_GB2312"/>
          <w:color w:val="000000" w:themeColor="text1"/>
          <w:sz w:val="32"/>
          <w:szCs w:val="32"/>
        </w:rPr>
        <w:t>2.86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，预决算差异率100%，差异主要原因是预算未安排。</w:t>
      </w:r>
      <w:bookmarkEnd w:id="52"/>
    </w:p>
    <w:p w:rsidR="00AF5145" w:rsidRDefault="00360E1E">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AF5145" w:rsidRDefault="00360E1E">
      <w:pPr>
        <w:spacing w:line="540" w:lineRule="exact"/>
        <w:ind w:firstLineChars="200" w:firstLine="640"/>
        <w:rPr>
          <w:rFonts w:ascii="仿宋_GB2312" w:eastAsia="仿宋_GB2312"/>
          <w:color w:val="000000" w:themeColor="text1"/>
          <w:sz w:val="32"/>
          <w:szCs w:val="32"/>
        </w:rPr>
      </w:pPr>
      <w:bookmarkStart w:id="53" w:name="OLE_LINK26"/>
      <w:bookmarkStart w:id="54" w:name="OLE_LINK25"/>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。与上年相比，减少1,390万元，降低100%</w:t>
      </w:r>
      <w:r>
        <w:rPr>
          <w:rFonts w:ascii="仿宋_GB2312" w:eastAsia="仿宋_GB2312" w:hint="eastAsia"/>
          <w:color w:val="000000" w:themeColor="text1"/>
          <w:sz w:val="32"/>
          <w:szCs w:val="32"/>
        </w:rPr>
        <w:t>。</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7"/>
      <w:bookmarkStart w:id="56" w:name="OLE_LINK28"/>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。与上年相比，减少0万元，增降低0%。</w:t>
      </w:r>
    </w:p>
    <w:p w:rsidR="00AF5145" w:rsidRDefault="00360E1E">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AF5145" w:rsidRDefault="00360E1E">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t>2018年度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1.7</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，与上年相比，减少0.2万元，下降10.53%，减少原因是：严格执行“三公”经费只减不增的要求。</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0%，比上年减少0万元，降低0%，减少原因是：本单位无此项预算安排，也没有此项经费支出；</w:t>
      </w:r>
      <w:bookmarkStart w:id="61" w:name="OLE_LINK31"/>
      <w:bookmarkStart w:id="62" w:name="OLE_LINK76"/>
      <w:bookmarkEnd w:id="59"/>
      <w:r>
        <w:rPr>
          <w:rFonts w:ascii="仿宋_GB2312" w:eastAsia="仿宋_GB2312" w:hint="eastAsia"/>
          <w:color w:val="000000" w:themeColor="text1"/>
          <w:sz w:val="32"/>
          <w:szCs w:val="32"/>
        </w:rPr>
        <w:t>公务用车购置及运行维护费支出</w:t>
      </w:r>
      <w:bookmarkEnd w:id="61"/>
      <w:r>
        <w:rPr>
          <w:rFonts w:ascii="仿宋_GB2312" w:eastAsia="仿宋_GB2312" w:hint="eastAsia"/>
          <w:sz w:val="32"/>
          <w:szCs w:val="32"/>
        </w:rPr>
        <w:t>1.7</w:t>
      </w:r>
      <w:r>
        <w:rPr>
          <w:rFonts w:ascii="仿宋_GB2312" w:eastAsia="仿宋_GB2312" w:hint="eastAsia"/>
          <w:color w:val="000000" w:themeColor="text1"/>
          <w:sz w:val="32"/>
          <w:szCs w:val="32"/>
        </w:rPr>
        <w:t>万元，占</w:t>
      </w:r>
      <w:r>
        <w:rPr>
          <w:rFonts w:ascii="仿宋_GB2312" w:eastAsia="仿宋_GB2312" w:hint="eastAsia"/>
          <w:sz w:val="32"/>
          <w:szCs w:val="32"/>
        </w:rPr>
        <w:t>100%，与上年相比，减少0.2万元，下降10.53%，减少的主要原因是：严格执行“三公”经费只减不增的要求；</w:t>
      </w:r>
      <w:bookmarkStart w:id="63" w:name="OLE_LINK32"/>
      <w:bookmarkStart w:id="64" w:name="OLE_LINK77"/>
      <w:bookmarkStart w:id="65" w:name="OLE_LINK78"/>
      <w:bookmarkEnd w:id="62"/>
      <w:r>
        <w:rPr>
          <w:rFonts w:ascii="仿宋_GB2312" w:eastAsia="仿宋_GB2312" w:hint="eastAsia"/>
          <w:color w:val="000000" w:themeColor="text1"/>
          <w:sz w:val="32"/>
          <w:szCs w:val="32"/>
        </w:rPr>
        <w:t>公务接待费支出</w:t>
      </w:r>
      <w:bookmarkEnd w:id="6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0%，比上年减少0万元，降低0%，减少原因是：本单位无此项预算安排，也没有此项经费支出。</w:t>
      </w:r>
      <w:bookmarkEnd w:id="64"/>
      <w:bookmarkEnd w:id="65"/>
      <w:r>
        <w:rPr>
          <w:rFonts w:ascii="仿宋_GB2312" w:eastAsia="仿宋_GB2312" w:hint="eastAsia"/>
          <w:color w:val="000000" w:themeColor="text1"/>
          <w:sz w:val="32"/>
          <w:szCs w:val="32"/>
        </w:rPr>
        <w:t>具体情况如下：</w:t>
      </w:r>
    </w:p>
    <w:p w:rsidR="00AF5145" w:rsidRDefault="00360E1E">
      <w:pPr>
        <w:spacing w:line="540" w:lineRule="exact"/>
        <w:ind w:firstLineChars="200" w:firstLine="640"/>
        <w:rPr>
          <w:rFonts w:ascii="仿宋_GB2312" w:eastAsia="仿宋_GB2312"/>
          <w:color w:val="000000" w:themeColor="text1"/>
          <w:sz w:val="32"/>
          <w:szCs w:val="32"/>
        </w:rPr>
      </w:pPr>
      <w:bookmarkStart w:id="66" w:name="OLE_LINK79"/>
      <w:bookmarkStart w:id="67" w:name="OLE_LINK80"/>
      <w:r>
        <w:rPr>
          <w:rFonts w:ascii="仿宋_GB2312" w:eastAsia="仿宋_GB2312" w:hint="eastAsia"/>
          <w:color w:val="000000" w:themeColor="text1"/>
          <w:sz w:val="32"/>
          <w:szCs w:val="32"/>
        </w:rPr>
        <w:lastRenderedPageBreak/>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新疆喀什地区英吉沙县城镇人民政府（本级）</w:t>
      </w:r>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4"/>
      <w:bookmarkStart w:id="70" w:name="OLE_LINK35"/>
      <w:bookmarkStart w:id="71" w:name="OLE_LINK36"/>
      <w:r>
        <w:rPr>
          <w:rFonts w:ascii="仿宋_GB2312" w:eastAsia="仿宋_GB2312" w:hint="eastAsia"/>
          <w:color w:val="000000" w:themeColor="text1"/>
          <w:sz w:val="32"/>
          <w:szCs w:val="32"/>
        </w:rPr>
        <w:t>使用一般公共预算财政拨款安排的出国（境）团组</w:t>
      </w:r>
      <w:bookmarkEnd w:id="68"/>
      <w:bookmarkEnd w:id="69"/>
      <w:bookmarkEnd w:id="70"/>
      <w:r>
        <w:rPr>
          <w:rFonts w:ascii="仿宋_GB2312" w:eastAsia="仿宋_GB2312" w:hint="eastAsia"/>
          <w:sz w:val="32"/>
          <w:szCs w:val="32"/>
        </w:rPr>
        <w:t>0</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本单位无此项预算安排，也没有此项经费支出。</w:t>
      </w:r>
      <w:bookmarkEnd w:id="66"/>
      <w:bookmarkEnd w:id="67"/>
      <w:bookmarkEnd w:id="73"/>
    </w:p>
    <w:p w:rsidR="00AF5145" w:rsidRDefault="00360E1E">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1.7</w:t>
      </w:r>
      <w:r>
        <w:rPr>
          <w:rFonts w:ascii="仿宋_GB2312" w:eastAsia="仿宋_GB2312" w:hint="eastAsia"/>
          <w:color w:val="000000" w:themeColor="text1"/>
          <w:sz w:val="32"/>
          <w:szCs w:val="32"/>
        </w:rPr>
        <w:t>万元,其中，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1"/>
      <w:bookmarkStart w:id="77" w:name="OLE_LINK40"/>
      <w:r>
        <w:rPr>
          <w:rFonts w:ascii="仿宋_GB2312" w:eastAsia="仿宋_GB2312" w:hint="eastAsia"/>
          <w:color w:val="000000" w:themeColor="text1"/>
          <w:sz w:val="32"/>
          <w:szCs w:val="32"/>
        </w:rPr>
        <w:t>公务用车运行维护费</w:t>
      </w:r>
      <w:r>
        <w:rPr>
          <w:rFonts w:ascii="仿宋_GB2312" w:eastAsia="仿宋_GB2312" w:hint="eastAsia"/>
          <w:sz w:val="32"/>
          <w:szCs w:val="32"/>
        </w:rPr>
        <w:t>1.7</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严格执行“三公”经费只减不增的要求</w:t>
      </w:r>
      <w:r>
        <w:rPr>
          <w:rFonts w:ascii="仿宋_GB2312" w:eastAsia="仿宋_GB2312" w:hint="eastAsia"/>
          <w:color w:val="000000" w:themeColor="text1"/>
          <w:sz w:val="32"/>
          <w:szCs w:val="32"/>
        </w:rPr>
        <w:t>等。</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3</w:t>
      </w:r>
      <w:r>
        <w:rPr>
          <w:rFonts w:ascii="仿宋_GB2312" w:eastAsia="仿宋_GB2312" w:hint="eastAsia"/>
          <w:color w:val="000000" w:themeColor="text1"/>
          <w:sz w:val="32"/>
          <w:szCs w:val="32"/>
        </w:rPr>
        <w:t>辆。</w:t>
      </w:r>
      <w:bookmarkEnd w:id="78"/>
    </w:p>
    <w:p w:rsidR="00AF5145" w:rsidRDefault="00360E1E">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本单位无此项预算安排，也没有此项经费支出</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新疆喀什地区英吉沙县城镇人民政府（本级）</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AF5145" w:rsidRDefault="00360E1E">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3.75</w:t>
      </w:r>
      <w:r>
        <w:rPr>
          <w:rFonts w:ascii="仿宋_GB2312" w:eastAsia="仿宋_GB2312" w:hint="eastAsia"/>
          <w:color w:val="000000" w:themeColor="text1"/>
          <w:sz w:val="32"/>
          <w:szCs w:val="32"/>
        </w:rPr>
        <w:t>万元，决算数1.7万元</w:t>
      </w:r>
      <w:r>
        <w:rPr>
          <w:rFonts w:ascii="仿宋_GB2312" w:eastAsia="仿宋_GB2312"/>
          <w:color w:val="000000" w:themeColor="text1"/>
          <w:sz w:val="32"/>
          <w:szCs w:val="32"/>
        </w:rPr>
        <w:t>，预决算差异率</w:t>
      </w:r>
      <w:r>
        <w:rPr>
          <w:rFonts w:ascii="仿宋_GB2312" w:eastAsia="仿宋_GB2312" w:hint="eastAsia"/>
          <w:color w:val="000000" w:themeColor="text1"/>
          <w:sz w:val="32"/>
          <w:szCs w:val="32"/>
        </w:rPr>
        <w:t>-</w:t>
      </w:r>
      <w:r>
        <w:rPr>
          <w:rFonts w:ascii="仿宋_GB2312" w:eastAsia="仿宋_GB2312"/>
          <w:color w:val="000000" w:themeColor="text1"/>
          <w:sz w:val="32"/>
          <w:szCs w:val="32"/>
        </w:rPr>
        <w:t>54.67%，差异主要原因是严格执行</w:t>
      </w:r>
      <w:r>
        <w:rPr>
          <w:rFonts w:ascii="仿宋_GB2312" w:eastAsia="仿宋_GB2312"/>
          <w:color w:val="000000" w:themeColor="text1"/>
          <w:sz w:val="32"/>
          <w:szCs w:val="32"/>
        </w:rPr>
        <w:t>“</w:t>
      </w:r>
      <w:r>
        <w:rPr>
          <w:rFonts w:ascii="仿宋_GB2312" w:eastAsia="仿宋_GB2312"/>
          <w:color w:val="000000" w:themeColor="text1"/>
          <w:sz w:val="32"/>
          <w:szCs w:val="32"/>
        </w:rPr>
        <w:t>三公</w:t>
      </w:r>
      <w:r>
        <w:rPr>
          <w:rFonts w:ascii="仿宋_GB2312" w:eastAsia="仿宋_GB2312"/>
          <w:color w:val="000000" w:themeColor="text1"/>
          <w:sz w:val="32"/>
          <w:szCs w:val="32"/>
        </w:rPr>
        <w:t>”</w:t>
      </w:r>
      <w:r>
        <w:rPr>
          <w:rFonts w:ascii="仿宋_GB2312" w:eastAsia="仿宋_GB2312"/>
          <w:color w:val="000000" w:themeColor="text1"/>
          <w:sz w:val="32"/>
          <w:szCs w:val="32"/>
        </w:rPr>
        <w:t>经费只减不增的要求。</w:t>
      </w:r>
      <w:bookmarkStart w:id="82" w:name="OLE_LINK86"/>
      <w:bookmarkStart w:id="83" w:name="OLE_LINK87"/>
      <w:bookmarkEnd w:id="81"/>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，预决算差异率0%，差异主要原因是本单位无此项预算安排，也没有此项经费支出；</w:t>
      </w:r>
      <w:bookmarkStart w:id="84" w:name="OLE_LINK89"/>
      <w:bookmarkStart w:id="85" w:name="OLE_LINK88"/>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，预决算差异率0%，差异主要原因是本单位无此项预算安排，也没有此项经费支出；</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3.75</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1.7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hint="eastAsia"/>
          <w:color w:val="000000" w:themeColor="text1"/>
          <w:sz w:val="32"/>
          <w:szCs w:val="32"/>
        </w:rPr>
        <w:t>-</w:t>
      </w:r>
      <w:r>
        <w:rPr>
          <w:rFonts w:ascii="仿宋_GB2312" w:eastAsia="仿宋_GB2312"/>
          <w:color w:val="000000" w:themeColor="text1"/>
          <w:sz w:val="32"/>
          <w:szCs w:val="32"/>
        </w:rPr>
        <w:t>54.67%，差异主要原因是严格执行</w:t>
      </w:r>
      <w:r>
        <w:rPr>
          <w:rFonts w:ascii="仿宋_GB2312" w:eastAsia="仿宋_GB2312"/>
          <w:color w:val="000000" w:themeColor="text1"/>
          <w:sz w:val="32"/>
          <w:szCs w:val="32"/>
        </w:rPr>
        <w:t>“</w:t>
      </w:r>
      <w:r>
        <w:rPr>
          <w:rFonts w:ascii="仿宋_GB2312" w:eastAsia="仿宋_GB2312"/>
          <w:color w:val="000000" w:themeColor="text1"/>
          <w:sz w:val="32"/>
          <w:szCs w:val="32"/>
        </w:rPr>
        <w:t>三公</w:t>
      </w:r>
      <w:r>
        <w:rPr>
          <w:rFonts w:ascii="仿宋_GB2312" w:eastAsia="仿宋_GB2312"/>
          <w:color w:val="000000" w:themeColor="text1"/>
          <w:sz w:val="32"/>
          <w:szCs w:val="32"/>
        </w:rPr>
        <w:t>”</w:t>
      </w:r>
      <w:r>
        <w:rPr>
          <w:rFonts w:ascii="仿宋_GB2312" w:eastAsia="仿宋_GB2312"/>
          <w:color w:val="000000" w:themeColor="text1"/>
          <w:sz w:val="32"/>
          <w:szCs w:val="32"/>
        </w:rPr>
        <w:t>经费只减不增的要求；</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7"/>
      <w:r>
        <w:rPr>
          <w:rFonts w:ascii="仿宋_GB2312" w:eastAsia="仿宋_GB2312"/>
          <w:color w:val="000000" w:themeColor="text1"/>
          <w:sz w:val="32"/>
          <w:szCs w:val="32"/>
        </w:rPr>
        <w:t>本单位无此项预算安排，也没有此项经费支出。</w:t>
      </w:r>
    </w:p>
    <w:p w:rsidR="00AF5145" w:rsidRDefault="00360E1E">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AF5145" w:rsidRDefault="00360E1E">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lastRenderedPageBreak/>
        <w:t>2018年度新疆喀什地区英吉沙县城镇人民政府（本级）机关运行经费支出229.67万元，与上年相比，减少661.24万元，降低74.22%，减少的主要原因是：压缩日常公用经费，减少公用经费支出。</w:t>
      </w:r>
    </w:p>
    <w:p w:rsidR="00AF5145" w:rsidRDefault="00360E1E">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AF5145" w:rsidRDefault="00360E1E">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83.1</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83.1</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0</w:t>
      </w:r>
      <w:r>
        <w:rPr>
          <w:rFonts w:ascii="仿宋_GB2312" w:eastAsia="仿宋_GB2312" w:hint="eastAsia"/>
          <w:color w:val="000000" w:themeColor="text1"/>
          <w:sz w:val="32"/>
          <w:szCs w:val="32"/>
        </w:rPr>
        <w:t>万元。</w:t>
      </w:r>
    </w:p>
    <w:p w:rsidR="00AF5145" w:rsidRDefault="00360E1E">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AF5145" w:rsidRDefault="00360E1E">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AF5145" w:rsidRDefault="00360E1E">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截至2018年12月31日，单位共有车辆</w:t>
      </w:r>
      <w:r>
        <w:rPr>
          <w:rFonts w:ascii="仿宋_GB2312" w:eastAsia="仿宋_GB2312" w:hint="eastAsia"/>
          <w:sz w:val="32"/>
          <w:szCs w:val="32"/>
        </w:rPr>
        <w:t>3</w:t>
      </w:r>
      <w:r>
        <w:rPr>
          <w:rFonts w:ascii="仿宋_GB2312" w:eastAsia="仿宋_GB2312" w:hint="eastAsia"/>
          <w:color w:val="000000" w:themeColor="text1"/>
          <w:sz w:val="32"/>
          <w:szCs w:val="32"/>
        </w:rPr>
        <w:t>辆，价值</w:t>
      </w:r>
      <w:r>
        <w:rPr>
          <w:rFonts w:ascii="仿宋_GB2312" w:eastAsia="仿宋_GB2312" w:hint="eastAsia"/>
          <w:sz w:val="32"/>
          <w:szCs w:val="32"/>
        </w:rPr>
        <w:t>20.06</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3</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执勤</w:t>
      </w:r>
      <w:r>
        <w:rPr>
          <w:rFonts w:ascii="仿宋_GB2312" w:eastAsia="仿宋_GB2312" w:hint="eastAsia"/>
          <w:color w:val="000000" w:themeColor="text1"/>
          <w:sz w:val="32"/>
          <w:szCs w:val="32"/>
        </w:rPr>
        <w:t>、督察、宣传用车</w:t>
      </w:r>
      <w:r>
        <w:rPr>
          <w:rFonts w:ascii="仿宋_GB2312" w:eastAsia="仿宋_GB2312"/>
          <w:color w:val="000000" w:themeColor="text1"/>
          <w:sz w:val="32"/>
          <w:szCs w:val="32"/>
        </w:rPr>
        <w:t>；</w:t>
      </w:r>
      <w:r>
        <w:rPr>
          <w:rFonts w:ascii="仿宋_GB2312" w:eastAsia="仿宋_GB2312" w:hint="eastAsia"/>
          <w:color w:val="000000" w:themeColor="text1"/>
          <w:sz w:val="32"/>
          <w:szCs w:val="32"/>
        </w:rPr>
        <w:t>单位价值50万元以上通用设备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台（套）、单位价值100万元以上专用设备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AF5145" w:rsidRDefault="00360E1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w:t>
      </w:r>
      <w:r>
        <w:rPr>
          <w:rFonts w:ascii="仿宋_GB2312" w:eastAsia="仿宋_GB2312"/>
          <w:sz w:val="32"/>
          <w:szCs w:val="32"/>
        </w:rPr>
        <w:lastRenderedPageBreak/>
        <w:t>全面提升我单位公共服务水平。 英吉沙县城镇人民政府2018年度部门预算总额为2,478.79万元，执行金额为2,478.79万元，预算执行率为100%。本次自评共涉及项目数</w:t>
      </w:r>
      <w:r w:rsidR="007F0D54">
        <w:rPr>
          <w:rFonts w:ascii="仿宋_GB2312" w:eastAsia="仿宋_GB2312" w:hint="eastAsia"/>
          <w:sz w:val="32"/>
          <w:szCs w:val="32"/>
        </w:rPr>
        <w:t>21</w:t>
      </w:r>
      <w:r>
        <w:rPr>
          <w:rFonts w:ascii="仿宋_GB2312" w:eastAsia="仿宋_GB2312"/>
          <w:sz w:val="32"/>
          <w:szCs w:val="32"/>
        </w:rPr>
        <w:t>个，其中已完成项目</w:t>
      </w:r>
      <w:r w:rsidR="007F0D54">
        <w:rPr>
          <w:rFonts w:ascii="仿宋_GB2312" w:eastAsia="仿宋_GB2312" w:hint="eastAsia"/>
          <w:sz w:val="32"/>
          <w:szCs w:val="32"/>
        </w:rPr>
        <w:t>21</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rsidR="00AF5145" w:rsidRDefault="00360E1E">
      <w:pPr>
        <w:spacing w:line="540" w:lineRule="exact"/>
        <w:ind w:left="-1" w:right="-1" w:firstLine="646"/>
        <w:jc w:val="left"/>
      </w:pPr>
      <w:r>
        <w:rPr>
          <w:rFonts w:ascii="仿宋_GB2312" w:eastAsia="仿宋_GB2312" w:hAnsi="仿宋_GB2312" w:cs="仿宋_GB2312"/>
          <w:color w:val="000000"/>
          <w:sz w:val="32"/>
        </w:rPr>
        <w:t>1、2018年庭院经济补助项目绩效自评综述：根据年初设定的绩效目标，该项目绩效自评得分为95分。项目全年预算数为45.8万元，执行数为45.8万元，完成预算的100%。主要产出和效果：引导农户拆除危旧房，配套改造厨房，厕所，合理规范庭院，治理乱堆乱放，确保庭院干净整洁，推进农村新型化建设。发现的问题及原因：个人主动性还不够高。下一步改进措施： 加大对农民的宣传指导。</w:t>
      </w:r>
    </w:p>
    <w:p w:rsidR="00AF5145" w:rsidRDefault="00360E1E">
      <w:pPr>
        <w:spacing w:line="540" w:lineRule="exact"/>
        <w:ind w:left="-1" w:right="-1" w:firstLine="646"/>
        <w:jc w:val="left"/>
      </w:pPr>
      <w:r>
        <w:rPr>
          <w:rFonts w:ascii="仿宋_GB2312" w:eastAsia="仿宋_GB2312" w:hAnsi="仿宋_GB2312" w:cs="仿宋_GB2312"/>
          <w:color w:val="000000"/>
          <w:sz w:val="32"/>
        </w:rPr>
        <w:t>2、2018年小商铺建设补助项目绩效自评综述：根据年初设定的绩效目标，该项目绩效自评得分为90分。项目全年预算数为120万元，执行数为120万元，完成预算的100%。主要产出和效果：可完善村基础设施建设，可提供给贫困户使用，可带动贫困户增收，为群众生活提供便利条件，提高农村基层公共服务水平。发现的问题及原因：尚未发现问题。下一步改进措施： 进一步完善工作机制，更好的为人民服务。</w:t>
      </w:r>
    </w:p>
    <w:p w:rsidR="00AF5145" w:rsidRDefault="00360E1E">
      <w:pPr>
        <w:spacing w:line="540" w:lineRule="exact"/>
        <w:ind w:left="-1" w:right="-1" w:firstLine="646"/>
        <w:jc w:val="left"/>
      </w:pPr>
      <w:r>
        <w:rPr>
          <w:rFonts w:ascii="仿宋_GB2312" w:eastAsia="仿宋_GB2312" w:hAnsi="仿宋_GB2312" w:cs="仿宋_GB2312"/>
          <w:color w:val="000000"/>
          <w:sz w:val="32"/>
        </w:rPr>
        <w:t>3、活动场所国旗杆子项目绩效自评综述：根据年初设定的绩效目标，该项目绩效自评得分为95分。项目全年预算数为3.2万元，</w:t>
      </w:r>
      <w:r>
        <w:rPr>
          <w:rFonts w:ascii="仿宋_GB2312" w:eastAsia="仿宋_GB2312" w:hAnsi="仿宋_GB2312" w:cs="仿宋_GB2312"/>
          <w:color w:val="000000"/>
          <w:sz w:val="32"/>
        </w:rPr>
        <w:lastRenderedPageBreak/>
        <w:t>执行数为3.2万元，完成预算的100%。主要产出和效果：居民生活幸福感提升，人民安居乐业，得到广大群众的好评。发现的问题及原因：尚未发现问题。下一步改进措施： 通过城镇国旗杆安装项目执行情况，做好下一年专项经费执行预算，充分发挥专项经费在民族团结和爱国主义教育方面的重要作用。</w:t>
      </w:r>
    </w:p>
    <w:p w:rsidR="00AF5145" w:rsidRDefault="00360E1E">
      <w:pPr>
        <w:spacing w:line="540" w:lineRule="exact"/>
        <w:ind w:left="-1" w:right="-1" w:firstLine="646"/>
        <w:jc w:val="left"/>
      </w:pPr>
      <w:r>
        <w:rPr>
          <w:rFonts w:ascii="仿宋_GB2312" w:eastAsia="仿宋_GB2312" w:hAnsi="仿宋_GB2312" w:cs="仿宋_GB2312"/>
          <w:color w:val="000000"/>
          <w:sz w:val="32"/>
        </w:rPr>
        <w:t>4、城镇安居富民房建设项目绩效自评综述：根据年初设定的绩效目标，该项目绩效自评得分为90分。项目全年预算数为46.55万元，执行数为46.55万元，完成预算的100%。主要产出和效果：为群众提供安全舒适的住房提供有效保障，提高群众的居住条件。发现的问题及原因：入住率尚未达到全覆盖。下一步改进措施： 加强宣传引导。</w:t>
      </w:r>
    </w:p>
    <w:p w:rsidR="00AF5145" w:rsidRDefault="00613E5D">
      <w:pPr>
        <w:spacing w:line="540" w:lineRule="exact"/>
        <w:ind w:left="-1" w:right="-1" w:firstLine="646"/>
        <w:jc w:val="left"/>
      </w:pPr>
      <w:r>
        <w:rPr>
          <w:rFonts w:ascii="仿宋_GB2312" w:eastAsia="仿宋_GB2312" w:hAnsi="仿宋_GB2312" w:cs="仿宋_GB2312" w:hint="eastAsia"/>
          <w:color w:val="000000"/>
          <w:sz w:val="32"/>
        </w:rPr>
        <w:t>5</w:t>
      </w:r>
      <w:r w:rsidR="00360E1E">
        <w:rPr>
          <w:rFonts w:ascii="仿宋_GB2312" w:eastAsia="仿宋_GB2312" w:hAnsi="仿宋_GB2312" w:cs="仿宋_GB2312"/>
          <w:color w:val="000000"/>
          <w:sz w:val="32"/>
        </w:rPr>
        <w:t>、英吉沙县2018年农业资源及生态保护补助项目绩效自评综述：根据年初设定的绩效目标，该项目绩效自评得分为90分。项目全年预算数为3.94万元，执行数为3.94万元，完成预算的100%。主要产出和效果：该项目资金我乡主要使用在进一步充实村级工作力量，提高干部队伍整体素质，按时对干部发放生活补贴，以此提高干部的工作积极性，踏实认真的完成上级交办的每一项工作任务。项目实施以来各有关方尽心履职，通力合作，不断提升了干部服务群众意识以及工作作风。总体上，较好的实现了项目的战略目标和工作目标，自评为优秀。发现的问题及原因：资金拨付进度缓慢。下一步改进措施： 完善工作机制，加快资金拨付进度，提高基层工作人员积极性。</w:t>
      </w:r>
    </w:p>
    <w:p w:rsidR="00AF5145" w:rsidRDefault="00613E5D">
      <w:pPr>
        <w:spacing w:line="540" w:lineRule="exact"/>
        <w:ind w:left="-1" w:right="-1" w:firstLine="646"/>
        <w:jc w:val="left"/>
      </w:pPr>
      <w:r>
        <w:rPr>
          <w:rFonts w:ascii="仿宋_GB2312" w:eastAsia="仿宋_GB2312" w:hAnsi="仿宋_GB2312" w:cs="仿宋_GB2312" w:hint="eastAsia"/>
          <w:color w:val="000000"/>
          <w:sz w:val="32"/>
        </w:rPr>
        <w:t>6</w:t>
      </w:r>
      <w:r w:rsidR="00360E1E">
        <w:rPr>
          <w:rFonts w:ascii="仿宋_GB2312" w:eastAsia="仿宋_GB2312" w:hAnsi="仿宋_GB2312" w:cs="仿宋_GB2312"/>
          <w:color w:val="000000"/>
          <w:sz w:val="32"/>
        </w:rPr>
        <w:t>、城区绿化经费项目绩效自评综述：根据年初设定的绩效目标，</w:t>
      </w:r>
      <w:r w:rsidR="00360E1E">
        <w:rPr>
          <w:rFonts w:ascii="仿宋_GB2312" w:eastAsia="仿宋_GB2312" w:hAnsi="仿宋_GB2312" w:cs="仿宋_GB2312"/>
          <w:color w:val="000000"/>
          <w:sz w:val="32"/>
        </w:rPr>
        <w:lastRenderedPageBreak/>
        <w:t>该项目绩效自评得分为95分。项目全年预算数为107.56万元，执行数为107.56万元，完成预算的100%。主要产出和效果：植物生长势头良好，道路两边绿化带景观得到改善，空气环境得到净化。发现的问题及原因：内容不够丰富。下一步改进措施： 进一步加强服务内容建设。</w:t>
      </w:r>
    </w:p>
    <w:p w:rsidR="00AF5145" w:rsidRDefault="00651081">
      <w:pPr>
        <w:spacing w:line="540" w:lineRule="exact"/>
        <w:ind w:left="-1" w:right="-1" w:firstLine="646"/>
        <w:jc w:val="left"/>
      </w:pPr>
      <w:r>
        <w:rPr>
          <w:rFonts w:ascii="仿宋_GB2312" w:eastAsia="仿宋_GB2312" w:hAnsi="仿宋_GB2312" w:cs="仿宋_GB2312" w:hint="eastAsia"/>
          <w:color w:val="000000"/>
          <w:sz w:val="32"/>
        </w:rPr>
        <w:t>7</w:t>
      </w:r>
      <w:r w:rsidR="00360E1E">
        <w:rPr>
          <w:rFonts w:ascii="仿宋_GB2312" w:eastAsia="仿宋_GB2312" w:hAnsi="仿宋_GB2312" w:cs="仿宋_GB2312"/>
          <w:color w:val="000000"/>
          <w:sz w:val="32"/>
        </w:rPr>
        <w:t>、城镇搬迁补偿项目绩效自评综述：根据年初设定的绩效目标，该项目绩效自评得分为92分。项目全年预算数为16.18万元，执行数为16.18万元，完成预算的100%。主要产出和效果：为群众提供安全舒适的住房提供有效保障，提高群众的居住条件。发现的问题及原因：入住率尚未达到全覆盖。下一步改进措施： 加强宣传引导。</w:t>
      </w:r>
    </w:p>
    <w:p w:rsidR="00AF5145" w:rsidRDefault="00651081">
      <w:pPr>
        <w:spacing w:line="540" w:lineRule="exact"/>
        <w:ind w:left="-1" w:right="-1" w:firstLine="646"/>
        <w:jc w:val="left"/>
      </w:pPr>
      <w:r>
        <w:rPr>
          <w:rFonts w:ascii="仿宋_GB2312" w:eastAsia="仿宋_GB2312" w:hAnsi="仿宋_GB2312" w:cs="仿宋_GB2312" w:hint="eastAsia"/>
          <w:color w:val="000000"/>
          <w:sz w:val="32"/>
        </w:rPr>
        <w:t>8</w:t>
      </w:r>
      <w:r w:rsidR="00360E1E">
        <w:rPr>
          <w:rFonts w:ascii="仿宋_GB2312" w:eastAsia="仿宋_GB2312" w:hAnsi="仿宋_GB2312" w:cs="仿宋_GB2312"/>
          <w:color w:val="000000"/>
          <w:sz w:val="32"/>
        </w:rPr>
        <w:t>、城乡居民老人福利，民政各项救助资金项目绩效自评综述：根据年初设定的绩效目标，该项目绩效自评得分为90分。项目全年预算数为22.42万元，执行数为22.42万元，完成预算的100%。主要产出和效果：包括老人福利专项、残疾人专项资金、其他社会保障和就业支出等，有力地保障了全乡80岁以上老人、特困人员、残疾人等弱势群体能够享受政府各项补助及关爱，保障了残疾人基本生活需求，有利于完善社会保障事业、体现党的人文关怀、促进社会公平正义。发现的问题及原因：项目执行前期的规划及实施方案应该更加详细，综合考虑实际情况，使项目实施的更加顺畅，更加高效。下一步改进措施： 根据项目现实施情况，计划下一年度继续申请老人福利专项资金，以保证全镇社保工作正常开展。</w:t>
      </w:r>
    </w:p>
    <w:p w:rsidR="00AF5145" w:rsidRDefault="00651081">
      <w:pPr>
        <w:spacing w:line="540" w:lineRule="exact"/>
        <w:ind w:left="-1" w:right="-1" w:firstLine="646"/>
        <w:jc w:val="left"/>
      </w:pPr>
      <w:r>
        <w:rPr>
          <w:rFonts w:ascii="仿宋_GB2312" w:eastAsia="仿宋_GB2312" w:hAnsi="仿宋_GB2312" w:cs="仿宋_GB2312" w:hint="eastAsia"/>
          <w:color w:val="000000"/>
          <w:sz w:val="32"/>
        </w:rPr>
        <w:t>9</w:t>
      </w:r>
      <w:r w:rsidR="00360E1E">
        <w:rPr>
          <w:rFonts w:ascii="仿宋_GB2312" w:eastAsia="仿宋_GB2312" w:hAnsi="仿宋_GB2312" w:cs="仿宋_GB2312"/>
          <w:color w:val="000000"/>
          <w:sz w:val="32"/>
        </w:rPr>
        <w:t>、大学生村干部存量项目绩效自评综述：根据年初设定的绩效目标，该项目绩效自评得分为95分。项目全年预算数为21.3万元，</w:t>
      </w:r>
      <w:r w:rsidR="00360E1E">
        <w:rPr>
          <w:rFonts w:ascii="仿宋_GB2312" w:eastAsia="仿宋_GB2312" w:hAnsi="仿宋_GB2312" w:cs="仿宋_GB2312"/>
          <w:color w:val="000000"/>
          <w:sz w:val="32"/>
        </w:rPr>
        <w:lastRenderedPageBreak/>
        <w:t>执行数为21.3万元，完成预算的100%。主要产出和效果：提高大学生村干部工作积极性，促进村级工作更好开展。发现的问题及原因：个别大学生村干部能力不足，业务水平不高。下一步改进措施： 加强业务知识培训，提高业务水平。</w:t>
      </w:r>
    </w:p>
    <w:p w:rsidR="00AF5145" w:rsidRDefault="00651081">
      <w:pPr>
        <w:spacing w:line="540" w:lineRule="exact"/>
        <w:ind w:left="-1" w:right="-1" w:firstLine="646"/>
        <w:jc w:val="left"/>
      </w:pPr>
      <w:r>
        <w:rPr>
          <w:rFonts w:ascii="仿宋_GB2312" w:eastAsia="仿宋_GB2312" w:hAnsi="仿宋_GB2312" w:cs="仿宋_GB2312" w:hint="eastAsia"/>
          <w:color w:val="000000"/>
          <w:sz w:val="32"/>
        </w:rPr>
        <w:t>10</w:t>
      </w:r>
      <w:r w:rsidR="00360E1E">
        <w:rPr>
          <w:rFonts w:ascii="仿宋_GB2312" w:eastAsia="仿宋_GB2312" w:hAnsi="仿宋_GB2312" w:cs="仿宋_GB2312"/>
          <w:color w:val="000000"/>
          <w:sz w:val="32"/>
        </w:rPr>
        <w:t>、基层干部生活补贴项目绩效自评综述：根据年初设定的绩效目标，该项目绩效自评得分为90分。项目全年预算数为24.48万元，执行数为24.48万元，完成预算的100%。主要产出和效果：保证基层干部正常开展工作。发现的问题及原因：资金支付速度相对较慢，原因是村级报账材料收集较慢。下一步改进措施： 加快支付速度，确保更快更好的为群众解决困难。</w:t>
      </w:r>
    </w:p>
    <w:p w:rsidR="00AF5145" w:rsidRDefault="00651081">
      <w:pPr>
        <w:spacing w:line="540" w:lineRule="exact"/>
        <w:ind w:left="-1" w:right="-1" w:firstLine="646"/>
        <w:jc w:val="left"/>
      </w:pPr>
      <w:r>
        <w:rPr>
          <w:rFonts w:ascii="仿宋_GB2312" w:eastAsia="仿宋_GB2312" w:hAnsi="仿宋_GB2312" w:cs="仿宋_GB2312" w:hint="eastAsia"/>
          <w:color w:val="000000"/>
          <w:sz w:val="32"/>
        </w:rPr>
        <w:t>11</w:t>
      </w:r>
      <w:r w:rsidR="00360E1E">
        <w:rPr>
          <w:rFonts w:ascii="仿宋_GB2312" w:eastAsia="仿宋_GB2312" w:hAnsi="仿宋_GB2312" w:cs="仿宋_GB2312"/>
          <w:color w:val="000000"/>
          <w:sz w:val="32"/>
        </w:rPr>
        <w:t>、2018年贫困户自主创业补助项目绩效自评综述：根据年初设定的绩效目标，该项目绩效自评得分为90分。项目全年预算数为20万元，执行数为20万元，完成预算的100%。主要产出和效果：充分尊重贫困群众意见，在本人自愿、个人申请、村级党工委审批、公示公告无异议的基础上，组织实施自主创业项目，增加收入，带动贫困户增收。发现的问题及原因：个人主动性还不够高。下一步改进措施： 加大对农民的宣传指导。</w:t>
      </w:r>
    </w:p>
    <w:p w:rsidR="00AF5145" w:rsidRDefault="00651081">
      <w:pPr>
        <w:spacing w:line="540" w:lineRule="exact"/>
        <w:ind w:left="-1" w:right="-1" w:firstLine="646"/>
        <w:jc w:val="left"/>
      </w:pPr>
      <w:r>
        <w:rPr>
          <w:rFonts w:ascii="仿宋_GB2312" w:eastAsia="仿宋_GB2312" w:hAnsi="仿宋_GB2312" w:cs="仿宋_GB2312" w:hint="eastAsia"/>
          <w:color w:val="000000"/>
          <w:sz w:val="32"/>
        </w:rPr>
        <w:t>12</w:t>
      </w:r>
      <w:r w:rsidR="00360E1E">
        <w:rPr>
          <w:rFonts w:ascii="仿宋_GB2312" w:eastAsia="仿宋_GB2312" w:hAnsi="仿宋_GB2312" w:cs="仿宋_GB2312"/>
          <w:color w:val="000000"/>
          <w:sz w:val="32"/>
        </w:rPr>
        <w:t>、2018年贫困村整治项目绩效自评综述：根据年初设定的绩效目标，该项目绩效自评得分为95分。项目全年预算数为40万元，执行数为40万元，完成预算的100%。主要产出和效果：加强</w:t>
      </w:r>
      <w:r w:rsidR="00360E1E">
        <w:rPr>
          <w:rFonts w:ascii="仿宋_GB2312" w:eastAsia="仿宋_GB2312" w:hAnsi="仿宋_GB2312" w:cs="仿宋_GB2312" w:hint="eastAsia"/>
          <w:color w:val="000000"/>
          <w:sz w:val="32"/>
        </w:rPr>
        <w:t>工作</w:t>
      </w:r>
      <w:r w:rsidR="00360E1E">
        <w:rPr>
          <w:rFonts w:ascii="仿宋_GB2312" w:eastAsia="仿宋_GB2312" w:hAnsi="仿宋_GB2312" w:cs="仿宋_GB2312"/>
          <w:color w:val="000000"/>
          <w:sz w:val="32"/>
        </w:rPr>
        <w:t>,关注基层民生问题,解决群众困难诉求。发现的问题及原因：尚未发现问题。下一步改进措施： 进一步完善工作机制，更好的为人民服务。</w:t>
      </w:r>
    </w:p>
    <w:p w:rsidR="00AF5145" w:rsidRDefault="00651081">
      <w:pPr>
        <w:spacing w:line="540" w:lineRule="exact"/>
        <w:ind w:left="-1" w:right="-1" w:firstLine="646"/>
        <w:jc w:val="left"/>
      </w:pPr>
      <w:r>
        <w:rPr>
          <w:rFonts w:ascii="仿宋_GB2312" w:eastAsia="仿宋_GB2312" w:hAnsi="仿宋_GB2312" w:cs="仿宋_GB2312" w:hint="eastAsia"/>
          <w:color w:val="000000"/>
          <w:sz w:val="32"/>
        </w:rPr>
        <w:lastRenderedPageBreak/>
        <w:t>13</w:t>
      </w:r>
      <w:r w:rsidR="00360E1E">
        <w:rPr>
          <w:rFonts w:ascii="仿宋_GB2312" w:eastAsia="仿宋_GB2312" w:hAnsi="仿宋_GB2312" w:cs="仿宋_GB2312"/>
          <w:color w:val="000000"/>
          <w:sz w:val="32"/>
        </w:rPr>
        <w:t>、贫困户养老保险项目绩效自评综述：根据年初设定的绩效目标，该项目绩效自评得分为90分。项目全年预算数为0.6万元，执行数为0.6万元，完成预算的100%。主要产出和效果：该项目资金我乡主要使用在为英也尔乡2017年末16岁至60岁缴纳养老保险的未脱贫人口中，去除已享受政府代缴政策的残疾人、低保户、已缴职工社保人员的这部分贫困人口补助养老保险每人30元。总体上，较好的实现了项目的战略目标和工作目标，自评为优秀。发现的问题及原因：要做好前期基础工作，确保资金使用精准。下一步改进措施： 要进一步提升群众缴纳养老保险的积极性，减轻未脱贫贫困户家庭的负担，激发贫困户内生动力。</w:t>
      </w:r>
    </w:p>
    <w:p w:rsidR="00AF5145" w:rsidRDefault="00360E1E">
      <w:pPr>
        <w:spacing w:line="540" w:lineRule="exact"/>
        <w:ind w:left="-1" w:right="-1" w:firstLine="646"/>
        <w:jc w:val="left"/>
      </w:pPr>
      <w:r>
        <w:rPr>
          <w:rFonts w:ascii="仿宋_GB2312" w:eastAsia="仿宋_GB2312" w:hAnsi="仿宋_GB2312" w:cs="仿宋_GB2312"/>
          <w:color w:val="000000"/>
          <w:sz w:val="32"/>
        </w:rPr>
        <w:t>1</w:t>
      </w:r>
      <w:r w:rsidR="00651081">
        <w:rPr>
          <w:rFonts w:ascii="仿宋_GB2312" w:eastAsia="仿宋_GB2312" w:hAnsi="仿宋_GB2312" w:cs="仿宋_GB2312" w:hint="eastAsia"/>
          <w:color w:val="000000"/>
          <w:sz w:val="32"/>
        </w:rPr>
        <w:t>4</w:t>
      </w:r>
      <w:r>
        <w:rPr>
          <w:rFonts w:ascii="仿宋_GB2312" w:eastAsia="仿宋_GB2312" w:hAnsi="仿宋_GB2312" w:cs="仿宋_GB2312"/>
          <w:color w:val="000000"/>
          <w:sz w:val="32"/>
        </w:rPr>
        <w:t>、2018年美容美发补助项目绩效自评综述：根据年初设定的绩效目标，该项目绩效自评得分为95分。项目全年预算数为7万元，执行数为7万元，完成预算的100%。主要产出和效果：充分尊重贫困群众意见，在本人自愿、个人申请、村级党工委审批、公示公告无异议的基础上，组织实施自主创业项目，增加收入，带动贫困户增收。发现的问题及原因：个人主动性还不够高。下一步改进措施： 加大对农民的宣传指导。</w:t>
      </w:r>
    </w:p>
    <w:p w:rsidR="00AF5145" w:rsidRDefault="00651081">
      <w:pPr>
        <w:spacing w:line="540" w:lineRule="exact"/>
        <w:ind w:left="-1" w:right="-1" w:firstLine="646"/>
        <w:jc w:val="left"/>
      </w:pPr>
      <w:r>
        <w:rPr>
          <w:rFonts w:ascii="仿宋_GB2312" w:eastAsia="仿宋_GB2312" w:hAnsi="仿宋_GB2312" w:cs="仿宋_GB2312" w:hint="eastAsia"/>
          <w:color w:val="000000"/>
          <w:sz w:val="32"/>
        </w:rPr>
        <w:t>15</w:t>
      </w:r>
      <w:r w:rsidR="00360E1E">
        <w:rPr>
          <w:rFonts w:ascii="仿宋_GB2312" w:eastAsia="仿宋_GB2312" w:hAnsi="仿宋_GB2312" w:cs="仿宋_GB2312"/>
          <w:color w:val="000000"/>
          <w:sz w:val="32"/>
        </w:rPr>
        <w:t>、英吉沙县畜牧局2018年</w:t>
      </w:r>
      <w:r w:rsidR="00360E1E">
        <w:rPr>
          <w:rFonts w:ascii="仿宋_GB2312" w:eastAsia="仿宋_GB2312" w:hAnsi="仿宋_GB2312" w:cs="仿宋_GB2312" w:hint="eastAsia"/>
          <w:color w:val="000000"/>
          <w:sz w:val="32"/>
        </w:rPr>
        <w:t>工作组</w:t>
      </w:r>
      <w:r w:rsidR="00360E1E">
        <w:rPr>
          <w:rFonts w:ascii="仿宋_GB2312" w:eastAsia="仿宋_GB2312" w:hAnsi="仿宋_GB2312" w:cs="仿宋_GB2312"/>
          <w:color w:val="000000"/>
          <w:sz w:val="32"/>
        </w:rPr>
        <w:t>棚圈建设项目绩效自评综述：根据年初设定的绩效目标，该项目绩效自评得分为95分。项目全年预算数为2.95万元，执行数为2.95万元，完成预算的100%。主要产出和效果：通过建设畜牧养殖小区，对贫困户牲畜进行托养，带动贫困户脱贫致富。发现的问题及原因：由于农民思想觉悟不高，导致养殖小区没有发挥应有的作用。下一步改进措施： 加大对农民</w:t>
      </w:r>
      <w:r w:rsidR="00360E1E">
        <w:rPr>
          <w:rFonts w:ascii="仿宋_GB2312" w:eastAsia="仿宋_GB2312" w:hAnsi="仿宋_GB2312" w:cs="仿宋_GB2312"/>
          <w:color w:val="000000"/>
          <w:sz w:val="32"/>
        </w:rPr>
        <w:lastRenderedPageBreak/>
        <w:t>的宣传指导。</w:t>
      </w:r>
    </w:p>
    <w:p w:rsidR="00AF5145" w:rsidRDefault="00651081">
      <w:pPr>
        <w:spacing w:line="540" w:lineRule="exact"/>
        <w:ind w:left="-1" w:right="-1" w:firstLine="646"/>
        <w:jc w:val="left"/>
      </w:pPr>
      <w:r>
        <w:rPr>
          <w:rFonts w:ascii="仿宋_GB2312" w:eastAsia="仿宋_GB2312" w:hAnsi="仿宋_GB2312" w:cs="仿宋_GB2312" w:hint="eastAsia"/>
          <w:color w:val="000000"/>
          <w:sz w:val="32"/>
        </w:rPr>
        <w:t>16</w:t>
      </w:r>
      <w:r w:rsidR="00360E1E">
        <w:rPr>
          <w:rFonts w:ascii="仿宋_GB2312" w:eastAsia="仿宋_GB2312" w:hAnsi="仿宋_GB2312" w:cs="仿宋_GB2312"/>
          <w:color w:val="000000"/>
          <w:sz w:val="32"/>
        </w:rPr>
        <w:t>、2018林果业提质增效（病虫害防治）项目绩效自评综述：根据年初设定的绩效目标，该项目绩效自评得分为95分。项目全年预算数为6.09万元，执行数为6.09万元，完成预算的100%。主要产出和效果：在尊重贫困户意愿下，根据贫困户房前屋后实际情况实施果树种植，主要种植杏子、西梅、桃树等。发现的问题及原因：尚未发现问题。下一步改进措施： 进一步完善工作机制，更好的为人民服务。</w:t>
      </w:r>
    </w:p>
    <w:p w:rsidR="00AF5145" w:rsidRDefault="00651081">
      <w:pPr>
        <w:spacing w:line="540" w:lineRule="exact"/>
        <w:ind w:left="-1" w:right="-1" w:firstLine="646"/>
        <w:jc w:val="left"/>
      </w:pPr>
      <w:r>
        <w:rPr>
          <w:rFonts w:ascii="仿宋_GB2312" w:eastAsia="仿宋_GB2312" w:hAnsi="仿宋_GB2312" w:cs="仿宋_GB2312" w:hint="eastAsia"/>
          <w:color w:val="000000"/>
          <w:sz w:val="32"/>
        </w:rPr>
        <w:t>17</w:t>
      </w:r>
      <w:r w:rsidR="00360E1E">
        <w:rPr>
          <w:rFonts w:ascii="仿宋_GB2312" w:eastAsia="仿宋_GB2312" w:hAnsi="仿宋_GB2312" w:cs="仿宋_GB2312"/>
          <w:color w:val="000000"/>
          <w:sz w:val="32"/>
        </w:rPr>
        <w:t>、2018林果业提质增效项目绩效自评综述：根据年初设定的绩效目标，该项目绩效自评得分为95分。项目全年预算数为9.29万元，执行数为9.29万元，完成预算的100%。主要产出和效果：在尊重贫困户意愿下，根据贫困户房前屋后实际情况实施果树种植，主要种植杏子、西梅、桃树等。发现的问题及原因：尚未发现问题。下一步改进措施： 进一步完善工作机制，更好的为人民服务。</w:t>
      </w:r>
    </w:p>
    <w:p w:rsidR="00AF5145" w:rsidRDefault="00651081">
      <w:pPr>
        <w:spacing w:line="540" w:lineRule="exact"/>
        <w:ind w:left="-1" w:right="-1" w:firstLine="646"/>
        <w:jc w:val="left"/>
      </w:pPr>
      <w:r>
        <w:rPr>
          <w:rFonts w:ascii="仿宋_GB2312" w:eastAsia="仿宋_GB2312" w:hAnsi="仿宋_GB2312" w:cs="仿宋_GB2312" w:hint="eastAsia"/>
          <w:color w:val="000000"/>
          <w:sz w:val="32"/>
        </w:rPr>
        <w:t>18</w:t>
      </w:r>
      <w:r w:rsidR="00360E1E">
        <w:rPr>
          <w:rFonts w:ascii="仿宋_GB2312" w:eastAsia="仿宋_GB2312" w:hAnsi="仿宋_GB2312" w:cs="仿宋_GB2312"/>
          <w:color w:val="000000"/>
          <w:sz w:val="32"/>
        </w:rPr>
        <w:t>、林果业合作社奖补资金项目绩效自评综述：根据年初设定的绩效目标，该项目绩效自评得分为95分。项目全年预算数为31万元，执行数为31万元，完成预算的100%。主要产出和效果：为合作社正常运转提供有效保障，提高合作社成员积极性，带动贫困户就业。发现的问题及原因：工作人员积极性不够，原因是业务量较少，产生的效益较差。下一步改进措施： 加强合作社经营管理技能培训，提高合作社成员经营管理能力。</w:t>
      </w:r>
    </w:p>
    <w:p w:rsidR="00AF5145" w:rsidRDefault="00651081">
      <w:pPr>
        <w:spacing w:line="540" w:lineRule="exact"/>
        <w:ind w:left="-1" w:right="-1" w:firstLine="646"/>
        <w:jc w:val="left"/>
      </w:pPr>
      <w:r>
        <w:rPr>
          <w:rFonts w:ascii="仿宋_GB2312" w:eastAsia="仿宋_GB2312" w:hAnsi="仿宋_GB2312" w:cs="仿宋_GB2312" w:hint="eastAsia"/>
          <w:color w:val="000000"/>
          <w:sz w:val="32"/>
        </w:rPr>
        <w:t>19</w:t>
      </w:r>
      <w:r w:rsidR="00360E1E">
        <w:rPr>
          <w:rFonts w:ascii="仿宋_GB2312" w:eastAsia="仿宋_GB2312" w:hAnsi="仿宋_GB2312" w:cs="仿宋_GB2312"/>
          <w:color w:val="000000"/>
          <w:sz w:val="32"/>
        </w:rPr>
        <w:t>、英吉沙镇农村综合改革转移项目绩效自评综述：根据年初设定的绩效目标，该项目绩效自评得分为90分。项目全年预算数为</w:t>
      </w:r>
      <w:r w:rsidR="00360E1E">
        <w:rPr>
          <w:rFonts w:ascii="仿宋_GB2312" w:eastAsia="仿宋_GB2312" w:hAnsi="仿宋_GB2312" w:cs="仿宋_GB2312"/>
          <w:color w:val="000000"/>
          <w:sz w:val="32"/>
        </w:rPr>
        <w:lastRenderedPageBreak/>
        <w:t>69万元，执行数为69万元，完成预算的100%。主要产出和效果：加强</w:t>
      </w:r>
      <w:r w:rsidR="00360E1E">
        <w:rPr>
          <w:rFonts w:ascii="仿宋_GB2312" w:eastAsia="仿宋_GB2312" w:hAnsi="仿宋_GB2312" w:cs="仿宋_GB2312" w:hint="eastAsia"/>
          <w:color w:val="000000"/>
          <w:sz w:val="32"/>
        </w:rPr>
        <w:t>工作</w:t>
      </w:r>
      <w:r w:rsidR="00360E1E">
        <w:rPr>
          <w:rFonts w:ascii="仿宋_GB2312" w:eastAsia="仿宋_GB2312" w:hAnsi="仿宋_GB2312" w:cs="仿宋_GB2312"/>
          <w:color w:val="000000"/>
          <w:sz w:val="32"/>
        </w:rPr>
        <w:t>,关注基层民生问题,解决群众困难诉求。发现的问题及原因：尚未发现问题。下一步改进措施： 进一步完善工作机制，更好的为人民服务。</w:t>
      </w:r>
    </w:p>
    <w:p w:rsidR="00AF5145" w:rsidRDefault="00651081">
      <w:pPr>
        <w:spacing w:line="540" w:lineRule="exact"/>
        <w:ind w:left="-1" w:right="-1" w:firstLine="646"/>
        <w:jc w:val="left"/>
        <w:rPr>
          <w:rFonts w:ascii="仿宋_GB2312" w:eastAsia="仿宋_GB2312" w:hAnsi="仿宋_GB2312" w:cs="仿宋_GB2312" w:hint="eastAsia"/>
          <w:color w:val="000000"/>
          <w:sz w:val="32"/>
        </w:rPr>
      </w:pPr>
      <w:r>
        <w:rPr>
          <w:rFonts w:ascii="仿宋_GB2312" w:eastAsia="仿宋_GB2312" w:hAnsi="仿宋_GB2312" w:cs="仿宋_GB2312" w:hint="eastAsia"/>
          <w:color w:val="000000"/>
          <w:sz w:val="32"/>
        </w:rPr>
        <w:t>20</w:t>
      </w:r>
      <w:r w:rsidR="00360E1E">
        <w:rPr>
          <w:rFonts w:ascii="仿宋_GB2312" w:eastAsia="仿宋_GB2312" w:hAnsi="仿宋_GB2312" w:cs="仿宋_GB2312"/>
          <w:color w:val="000000"/>
          <w:sz w:val="32"/>
        </w:rPr>
        <w:t>、2018年农村基础设施建设项目绩效自评综述：根据年初设定的绩效目标，该项目绩效自评得分为90分。项目全年预算数为1,390万元，执行数为1,390万元，完成预算的100%。主要产出和效果：该项目资金我乡主要使用在进一步确保基层阵地建设进一步规范，服务群众能力得到进一步提升，加大投入力度，改善办公环境。该项目资金的实施确保了我乡改善干部工作生活环境，服务群众能力得到进一步提升。项目实施以来各有关方尽心履职，通力合作，不断提升了干部服务群众意识以及工作作风。总体上，较好的实现了项目的战略目标和工作目标，自评为优秀。发现的问题及原因：要对项目实施及时组织验收，加强质保管控。下一步改进措施： 该项经费的实施极大的提高了工作效率，缓解了我乡经费压力，今后我乡仍将继续加强资金监管工作，严格资金审批手续。</w:t>
      </w:r>
    </w:p>
    <w:p w:rsidR="007F0D54" w:rsidRDefault="007F0D54" w:rsidP="007F0D54">
      <w:pPr>
        <w:spacing w:line="540" w:lineRule="exact"/>
        <w:ind w:left="-1" w:right="-1" w:firstLine="646"/>
        <w:jc w:val="left"/>
      </w:pPr>
      <w:r>
        <w:rPr>
          <w:rFonts w:ascii="仿宋_GB2312" w:eastAsia="仿宋_GB2312" w:hAnsi="仿宋_GB2312" w:cs="仿宋_GB2312" w:hint="eastAsia"/>
          <w:color w:val="000000"/>
          <w:sz w:val="32"/>
        </w:rPr>
        <w:t>21</w:t>
      </w:r>
      <w:r>
        <w:rPr>
          <w:rFonts w:ascii="仿宋_GB2312" w:eastAsia="仿宋_GB2312" w:hAnsi="仿宋_GB2312" w:cs="仿宋_GB2312"/>
          <w:color w:val="000000"/>
          <w:sz w:val="32"/>
        </w:rPr>
        <w:t>、城区绿化经费项目绩效自评综述：根据年初设定的绩效目标，该项目绩效自评得分为95分。项目全年预算数为107.56万元，执行数为107.56万元，完成预算的100%。主要产出和效果：植物生长势头良好，道路两边绿化带景观得到改善，空气环境得到净化。发现的问题及原因：内容不够丰富。下一步改进措施： 进一步加强服务内容建设。</w:t>
      </w:r>
    </w:p>
    <w:p w:rsidR="00AF5145" w:rsidRDefault="00360E1E" w:rsidP="007F0D5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AF5145" w:rsidRDefault="00360E1E">
      <w:pPr>
        <w:spacing w:line="540" w:lineRule="exact"/>
        <w:jc w:val="center"/>
        <w:rPr>
          <w:rFonts w:ascii="黑体" w:eastAsia="黑体" w:hAnsi="黑体"/>
          <w:sz w:val="32"/>
          <w:szCs w:val="32"/>
        </w:rPr>
      </w:pPr>
      <w:r>
        <w:rPr>
          <w:rFonts w:ascii="黑体" w:eastAsia="黑体" w:hAnsi="黑体" w:hint="eastAsia"/>
          <w:sz w:val="32"/>
          <w:szCs w:val="32"/>
        </w:rPr>
        <w:lastRenderedPageBreak/>
        <w:t>第三部分 专业名词解释</w:t>
      </w:r>
    </w:p>
    <w:p w:rsidR="00AF5145" w:rsidRDefault="00360E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AF5145" w:rsidRDefault="00360E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AF5145" w:rsidRDefault="00360E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AF5145" w:rsidRDefault="00360E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AF5145" w:rsidRDefault="00360E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AF5145" w:rsidRDefault="00360E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AF5145" w:rsidRDefault="00360E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AF5145" w:rsidRDefault="00360E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AF5145" w:rsidRDefault="00360E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AF5145" w:rsidRDefault="00360E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w:t>
      </w:r>
      <w:r>
        <w:rPr>
          <w:rFonts w:ascii="仿宋_GB2312" w:eastAsia="仿宋_GB2312" w:hint="eastAsia"/>
          <w:sz w:val="32"/>
          <w:szCs w:val="32"/>
        </w:rPr>
        <w:lastRenderedPageBreak/>
        <w:t>使用的资金，既包括财政拨款结转和结余，也包括事业收入、经营收入、其他收入的结转和结余。</w:t>
      </w:r>
    </w:p>
    <w:p w:rsidR="00AF5145" w:rsidRDefault="00360E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AF5145" w:rsidRDefault="00360E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AF5145" w:rsidRDefault="00360E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AF5145" w:rsidRDefault="00360E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AF5145" w:rsidRDefault="00360E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AF5145" w:rsidRDefault="00360E1E">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201（类）10（款）50（项）指：事</w:t>
      </w:r>
      <w:r>
        <w:rPr>
          <w:rFonts w:ascii="仿宋_GB2312" w:eastAsia="仿宋_GB2312" w:hint="eastAsia"/>
          <w:sz w:val="32"/>
          <w:szCs w:val="32"/>
        </w:rPr>
        <w:lastRenderedPageBreak/>
        <w:t>业运行。204（类）02（款）99（项）指：其他公安支出。208（类）99（款）01（项）指：其他社会保障和就业支出。213（类）01（款）35（项）指：农业资源保护修复与利用。208（类）05（款）05（项）指：机关事业单位基本养老保险缴费支出。201（类）03（款）02（项）指：一般行政管理事务。208（类）11（款）04（项）指：残疾人康复。201（类）06（款）01（项）指：行政运行。229（类）60（款）11（项）指：用于扶贫的彩票公益金支出。208（类）10（款）02（项）指：老年福利。201（类）32（款）99（项）指：其他组织事务支出。229（类）99（款）01（项）指：其他支出。201（类）03（款）01（项）指：行政运行。201（类）34（款）99（项）指：其他统战事务支出。213（类）01（款）04（项）指：事业运行。213（类）05（款）05（项）指：生产发展。213（类）05（款）06（项）指：社会发展。221（类）01（款）05（项）指：农村危房改造。213（类）07（款）01（项）指：对村级一事一议的补助。221（类）02（款）01（项）指：住房公积金。213（类）05（款）04（项）指：农村基础设施建设。204（类）02（款）01（项）指：行政运行。213（类）01（款）24（项）指：农业组织化与产业化经营。204（类）06（款）01（项）指：行政运行。204（类）02（款）04（项）指：治安管理。208（类）02（款）02（项）指：一般行政管理事务。212（类）05（款）01（项）指：城乡社区环境卫生。208（类）11（款）99（项）指：其他残疾人事业支出。220（类）01（款）01（项）指：行政运行。201（类）31（款）01（项）指：行政运行。207（类）01（款）09（项）指：群众文化。</w:t>
      </w:r>
    </w:p>
    <w:p w:rsidR="00AF5145" w:rsidRDefault="00360E1E">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lastRenderedPageBreak/>
        <w:t>其他有关说明内容</w:t>
      </w:r>
      <w:r>
        <w:rPr>
          <w:rFonts w:ascii="仿宋_GB2312" w:eastAsia="仿宋_GB2312" w:hAnsi="Calibri" w:hint="eastAsia"/>
          <w:sz w:val="32"/>
          <w:szCs w:val="32"/>
          <w:lang w:val="en-GB"/>
        </w:rPr>
        <w:t>。</w:t>
      </w:r>
    </w:p>
    <w:p w:rsidR="00AF5145" w:rsidRDefault="00AF5145">
      <w:pPr>
        <w:spacing w:line="540" w:lineRule="exact"/>
        <w:ind w:firstLineChars="200" w:firstLine="643"/>
        <w:rPr>
          <w:rFonts w:ascii="仿宋_GB2312" w:eastAsia="仿宋_GB2312"/>
          <w:b/>
          <w:sz w:val="32"/>
          <w:szCs w:val="32"/>
        </w:rPr>
      </w:pPr>
    </w:p>
    <w:p w:rsidR="00AF5145" w:rsidRDefault="00360E1E">
      <w:pPr>
        <w:spacing w:line="540" w:lineRule="exact"/>
        <w:jc w:val="center"/>
        <w:rPr>
          <w:rFonts w:ascii="黑体" w:eastAsia="黑体" w:hAnsi="黑体"/>
          <w:sz w:val="32"/>
          <w:szCs w:val="32"/>
        </w:rPr>
      </w:pPr>
      <w:r>
        <w:rPr>
          <w:rFonts w:ascii="黑体" w:eastAsia="黑体" w:hAnsi="黑体" w:hint="eastAsia"/>
          <w:sz w:val="32"/>
          <w:szCs w:val="32"/>
        </w:rPr>
        <w:t>第四部分 部门决算公开的8张报表（见附表）</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六、《一般公共预算财政拨款基本支出决算表》</w:t>
      </w:r>
    </w:p>
    <w:p w:rsidR="00AF5145" w:rsidRDefault="00360E1E">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AF5145" w:rsidRDefault="00360E1E">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AF5145" w:rsidRDefault="00AF5145">
      <w:pPr>
        <w:spacing w:line="540" w:lineRule="exact"/>
        <w:ind w:firstLineChars="200" w:firstLine="640"/>
        <w:rPr>
          <w:rFonts w:ascii="仿宋_GB2312" w:eastAsia="仿宋_GB2312"/>
          <w:sz w:val="32"/>
          <w:szCs w:val="32"/>
        </w:rPr>
      </w:pPr>
    </w:p>
    <w:p w:rsidR="00AF5145" w:rsidRDefault="00AF5145">
      <w:pPr>
        <w:spacing w:line="540" w:lineRule="exact"/>
        <w:ind w:firstLineChars="200" w:firstLine="640"/>
        <w:rPr>
          <w:rFonts w:ascii="仿宋_GB2312" w:eastAsia="仿宋_GB2312"/>
          <w:sz w:val="32"/>
          <w:szCs w:val="32"/>
        </w:rPr>
      </w:pPr>
    </w:p>
    <w:p w:rsidR="00AF5145" w:rsidRDefault="00AF5145">
      <w:pPr>
        <w:spacing w:line="540" w:lineRule="exact"/>
        <w:ind w:firstLineChars="200" w:firstLine="640"/>
        <w:rPr>
          <w:rFonts w:ascii="仿宋_GB2312" w:eastAsia="仿宋_GB2312"/>
          <w:sz w:val="32"/>
          <w:szCs w:val="32"/>
        </w:rPr>
      </w:pPr>
    </w:p>
    <w:p w:rsidR="00AF5145" w:rsidRDefault="00360E1E">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英吉沙县城镇人民政府</w:t>
      </w:r>
    </w:p>
    <w:p w:rsidR="00AF5145" w:rsidRDefault="00360E1E">
      <w:pPr>
        <w:spacing w:line="540" w:lineRule="exact"/>
        <w:ind w:firstLineChars="1000" w:firstLine="3200"/>
        <w:jc w:val="center"/>
        <w:rPr>
          <w:rFonts w:ascii="仿宋_GB2312" w:eastAsia="仿宋_GB2312"/>
          <w:sz w:val="32"/>
          <w:szCs w:val="32"/>
        </w:rPr>
        <w:sectPr w:rsidR="00AF5145">
          <w:footerReference w:type="even" r:id="rId7"/>
          <w:footerReference w:type="default" r:id="rId8"/>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2019年8月15日</w:t>
      </w:r>
    </w:p>
    <w:p w:rsidR="00AF5145" w:rsidRDefault="00AF5145">
      <w:pPr>
        <w:spacing w:line="540" w:lineRule="exact"/>
        <w:ind w:firstLineChars="200" w:firstLine="640"/>
        <w:rPr>
          <w:rFonts w:ascii="仿宋_GB2312" w:eastAsia="仿宋_GB2312"/>
          <w:sz w:val="32"/>
          <w:szCs w:val="32"/>
        </w:rPr>
        <w:sectPr w:rsidR="00AF5145">
          <w:footerReference w:type="even" r:id="rId9"/>
          <w:footerReference w:type="default" r:id="rId10"/>
          <w:pgSz w:w="11906" w:h="16838"/>
          <w:pgMar w:top="2041" w:right="1276" w:bottom="2041" w:left="1276" w:header="851" w:footer="1814" w:gutter="0"/>
          <w:pgNumType w:fmt="numberInDash"/>
          <w:cols w:space="425"/>
          <w:docGrid w:type="lines" w:linePitch="435" w:charSpace="-1675"/>
        </w:sectPr>
      </w:pPr>
    </w:p>
    <w:p w:rsidR="00AF5145" w:rsidRDefault="00AF5145">
      <w:pPr>
        <w:spacing w:line="540" w:lineRule="exact"/>
        <w:rPr>
          <w:rFonts w:ascii="仿宋_GB2312" w:eastAsia="仿宋_GB2312"/>
          <w:sz w:val="32"/>
          <w:szCs w:val="32"/>
        </w:rPr>
      </w:pPr>
    </w:p>
    <w:sectPr w:rsidR="00AF5145" w:rsidSect="002D7F6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3294" w:rsidRDefault="00D53294">
      <w:r>
        <w:separator/>
      </w:r>
    </w:p>
  </w:endnote>
  <w:endnote w:type="continuationSeparator" w:id="0">
    <w:p w:rsidR="00D53294" w:rsidRDefault="00D532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145" w:rsidRDefault="002D7F66">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sidR="00360E1E">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sidR="00360E1E">
      <w:rPr>
        <w:rStyle w:val="a8"/>
        <w:rFonts w:ascii="宋体" w:eastAsia="宋体" w:hAnsi="宋体"/>
        <w:sz w:val="28"/>
        <w:szCs w:val="28"/>
      </w:rPr>
      <w:t>- 12 -</w:t>
    </w:r>
    <w:r>
      <w:rPr>
        <w:rStyle w:val="a8"/>
        <w:rFonts w:ascii="宋体" w:eastAsia="宋体" w:hAnsi="宋体"/>
        <w:sz w:val="28"/>
        <w:szCs w:val="28"/>
      </w:rPr>
      <w:fldChar w:fldCharType="end"/>
    </w:r>
  </w:p>
  <w:p w:rsidR="00AF5145" w:rsidRDefault="00AF5145">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145" w:rsidRDefault="002D7F66">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sidR="00360E1E">
      <w:rPr>
        <w:rStyle w:val="a8"/>
        <w:rFonts w:ascii="宋体" w:eastAsia="宋体" w:hAnsi="宋体"/>
        <w:sz w:val="28"/>
      </w:rPr>
      <w:instrText xml:space="preserve"> PAGE </w:instrText>
    </w:r>
    <w:r>
      <w:rPr>
        <w:rStyle w:val="a8"/>
        <w:rFonts w:ascii="宋体" w:eastAsia="宋体" w:hAnsi="宋体"/>
        <w:sz w:val="28"/>
      </w:rPr>
      <w:fldChar w:fldCharType="separate"/>
    </w:r>
    <w:r w:rsidR="007F0D54">
      <w:rPr>
        <w:rStyle w:val="a8"/>
        <w:rFonts w:ascii="宋体" w:eastAsia="宋体" w:hAnsi="宋体"/>
        <w:noProof/>
        <w:sz w:val="28"/>
      </w:rPr>
      <w:t>- 10 -</w:t>
    </w:r>
    <w:r>
      <w:rPr>
        <w:rStyle w:val="a8"/>
        <w:rFonts w:ascii="宋体" w:eastAsia="宋体" w:hAnsi="宋体"/>
        <w:sz w:val="28"/>
      </w:rPr>
      <w:fldChar w:fldCharType="end"/>
    </w:r>
    <w:r w:rsidR="00360E1E">
      <w:rPr>
        <w:rStyle w:val="a8"/>
        <w:rFonts w:ascii="宋体" w:eastAsia="宋体" w:hAnsi="宋体" w:hint="eastAsia"/>
        <w:sz w:val="28"/>
      </w:rPr>
      <w:t xml:space="preserve"> </w:t>
    </w:r>
  </w:p>
  <w:p w:rsidR="00AF5145" w:rsidRDefault="00AF5145">
    <w:pPr>
      <w:pStyle w:val="a5"/>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145" w:rsidRDefault="002D7F66">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sidR="00360E1E">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sidR="00360E1E">
      <w:rPr>
        <w:rStyle w:val="a8"/>
        <w:rFonts w:ascii="宋体" w:eastAsia="宋体" w:hAnsi="宋体"/>
        <w:sz w:val="28"/>
        <w:szCs w:val="28"/>
      </w:rPr>
      <w:t>- 12 -</w:t>
    </w:r>
    <w:r>
      <w:rPr>
        <w:rStyle w:val="a8"/>
        <w:rFonts w:ascii="宋体" w:eastAsia="宋体" w:hAnsi="宋体"/>
        <w:sz w:val="28"/>
        <w:szCs w:val="28"/>
      </w:rPr>
      <w:fldChar w:fldCharType="end"/>
    </w:r>
  </w:p>
  <w:p w:rsidR="00AF5145" w:rsidRDefault="00AF5145">
    <w:pPr>
      <w:pStyle w:val="a5"/>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145" w:rsidRDefault="002D7F66">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sidR="00360E1E">
      <w:rPr>
        <w:rStyle w:val="a8"/>
        <w:rFonts w:ascii="宋体" w:eastAsia="宋体" w:hAnsi="宋体"/>
        <w:sz w:val="28"/>
      </w:rPr>
      <w:instrText xml:space="preserve"> PAGE </w:instrText>
    </w:r>
    <w:r>
      <w:rPr>
        <w:rStyle w:val="a8"/>
        <w:rFonts w:ascii="宋体" w:eastAsia="宋体" w:hAnsi="宋体"/>
        <w:sz w:val="28"/>
      </w:rPr>
      <w:fldChar w:fldCharType="separate"/>
    </w:r>
    <w:r w:rsidR="00613E5D">
      <w:rPr>
        <w:rStyle w:val="a8"/>
        <w:rFonts w:ascii="宋体" w:eastAsia="宋体" w:hAnsi="宋体"/>
        <w:noProof/>
        <w:sz w:val="28"/>
      </w:rPr>
      <w:t>22</w:t>
    </w:r>
    <w:r>
      <w:rPr>
        <w:rStyle w:val="a8"/>
        <w:rFonts w:ascii="宋体" w:eastAsia="宋体" w:hAnsi="宋体"/>
        <w:sz w:val="28"/>
      </w:rPr>
      <w:fldChar w:fldCharType="end"/>
    </w:r>
    <w:r w:rsidR="00360E1E">
      <w:rPr>
        <w:rStyle w:val="a8"/>
        <w:rFonts w:ascii="宋体" w:eastAsia="宋体" w:hAnsi="宋体" w:hint="eastAsia"/>
        <w:sz w:val="28"/>
      </w:rPr>
      <w:t xml:space="preserve"> </w:t>
    </w:r>
  </w:p>
  <w:p w:rsidR="00AF5145" w:rsidRDefault="00AF5145">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3294" w:rsidRDefault="00D53294">
      <w:r>
        <w:separator/>
      </w:r>
    </w:p>
  </w:footnote>
  <w:footnote w:type="continuationSeparator" w:id="0">
    <w:p w:rsidR="00D53294" w:rsidRDefault="00D532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43568"/>
    <w:rsid w:val="00000A75"/>
    <w:rsid w:val="00003BF7"/>
    <w:rsid w:val="00005719"/>
    <w:rsid w:val="00007F37"/>
    <w:rsid w:val="00010976"/>
    <w:rsid w:val="0002118A"/>
    <w:rsid w:val="00021887"/>
    <w:rsid w:val="00022242"/>
    <w:rsid w:val="00040E57"/>
    <w:rsid w:val="00041199"/>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D7F66"/>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0E1E"/>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3E5D"/>
    <w:rsid w:val="0061632B"/>
    <w:rsid w:val="006168AD"/>
    <w:rsid w:val="00621929"/>
    <w:rsid w:val="0062266C"/>
    <w:rsid w:val="006250CB"/>
    <w:rsid w:val="00627F36"/>
    <w:rsid w:val="006304D1"/>
    <w:rsid w:val="00631DA8"/>
    <w:rsid w:val="0063431E"/>
    <w:rsid w:val="00645C30"/>
    <w:rsid w:val="00651081"/>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0D54"/>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6182F"/>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AF5145"/>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53294"/>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232788"/>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605C01"/>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6BC71C8"/>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9C0096"/>
    <w:rsid w:val="48C57772"/>
    <w:rsid w:val="49782886"/>
    <w:rsid w:val="4A6F0D28"/>
    <w:rsid w:val="4AAF085C"/>
    <w:rsid w:val="4AEB7E60"/>
    <w:rsid w:val="4B4B135B"/>
    <w:rsid w:val="4BC7055F"/>
    <w:rsid w:val="4CFC7DB2"/>
    <w:rsid w:val="4E7C187D"/>
    <w:rsid w:val="4F6E65E9"/>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8D21ACD"/>
    <w:rsid w:val="6A162DE0"/>
    <w:rsid w:val="6A331428"/>
    <w:rsid w:val="6B2E5CB6"/>
    <w:rsid w:val="6B3D4886"/>
    <w:rsid w:val="6DF8675E"/>
    <w:rsid w:val="6EA80098"/>
    <w:rsid w:val="6F8D70FF"/>
    <w:rsid w:val="6FFE5011"/>
    <w:rsid w:val="70A6459A"/>
    <w:rsid w:val="7178734D"/>
    <w:rsid w:val="71791096"/>
    <w:rsid w:val="717B0C34"/>
    <w:rsid w:val="71FB78FD"/>
    <w:rsid w:val="7275064A"/>
    <w:rsid w:val="733F750B"/>
    <w:rsid w:val="735702E2"/>
    <w:rsid w:val="736F349A"/>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F6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2D7F66"/>
    <w:pPr>
      <w:jc w:val="left"/>
    </w:pPr>
  </w:style>
  <w:style w:type="paragraph" w:styleId="a4">
    <w:name w:val="Balloon Text"/>
    <w:basedOn w:val="a"/>
    <w:link w:val="Char0"/>
    <w:uiPriority w:val="99"/>
    <w:semiHidden/>
    <w:unhideWhenUsed/>
    <w:qFormat/>
    <w:rsid w:val="002D7F66"/>
    <w:rPr>
      <w:sz w:val="18"/>
      <w:szCs w:val="18"/>
    </w:rPr>
  </w:style>
  <w:style w:type="paragraph" w:styleId="a5">
    <w:name w:val="footer"/>
    <w:basedOn w:val="a"/>
    <w:link w:val="Char1"/>
    <w:qFormat/>
    <w:rsid w:val="002D7F66"/>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rsid w:val="002D7F66"/>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2D7F66"/>
    <w:rPr>
      <w:b/>
      <w:bCs/>
    </w:rPr>
  </w:style>
  <w:style w:type="character" w:styleId="a8">
    <w:name w:val="page number"/>
    <w:basedOn w:val="a0"/>
    <w:qFormat/>
    <w:rsid w:val="002D7F66"/>
  </w:style>
  <w:style w:type="character" w:styleId="a9">
    <w:name w:val="annotation reference"/>
    <w:basedOn w:val="a0"/>
    <w:uiPriority w:val="99"/>
    <w:semiHidden/>
    <w:unhideWhenUsed/>
    <w:qFormat/>
    <w:rsid w:val="002D7F66"/>
    <w:rPr>
      <w:sz w:val="21"/>
      <w:szCs w:val="21"/>
    </w:rPr>
  </w:style>
  <w:style w:type="character" w:customStyle="1" w:styleId="Char1">
    <w:name w:val="页脚 Char"/>
    <w:basedOn w:val="a0"/>
    <w:link w:val="a5"/>
    <w:qFormat/>
    <w:rsid w:val="002D7F66"/>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sid w:val="002D7F66"/>
    <w:rPr>
      <w:rFonts w:ascii="Times New Roman" w:eastAsia="宋体" w:hAnsi="Times New Roman" w:cs="Times New Roman"/>
      <w:szCs w:val="24"/>
    </w:rPr>
  </w:style>
  <w:style w:type="character" w:customStyle="1" w:styleId="Char3">
    <w:name w:val="批注主题 Char"/>
    <w:basedOn w:val="Char"/>
    <w:link w:val="a7"/>
    <w:uiPriority w:val="99"/>
    <w:semiHidden/>
    <w:qFormat/>
    <w:rsid w:val="002D7F66"/>
    <w:rPr>
      <w:rFonts w:ascii="Times New Roman" w:eastAsia="宋体" w:hAnsi="Times New Roman" w:cs="Times New Roman"/>
      <w:b/>
      <w:bCs/>
      <w:szCs w:val="24"/>
    </w:rPr>
  </w:style>
  <w:style w:type="character" w:customStyle="1" w:styleId="Char0">
    <w:name w:val="批注框文本 Char"/>
    <w:basedOn w:val="a0"/>
    <w:link w:val="a4"/>
    <w:uiPriority w:val="99"/>
    <w:semiHidden/>
    <w:qFormat/>
    <w:rsid w:val="002D7F66"/>
    <w:rPr>
      <w:rFonts w:ascii="Times New Roman" w:eastAsia="宋体" w:hAnsi="Times New Roman" w:cs="Times New Roman"/>
      <w:sz w:val="18"/>
      <w:szCs w:val="18"/>
    </w:rPr>
  </w:style>
  <w:style w:type="character" w:customStyle="1" w:styleId="Char2">
    <w:name w:val="页眉 Char"/>
    <w:basedOn w:val="a0"/>
    <w:link w:val="a6"/>
    <w:uiPriority w:val="99"/>
    <w:qFormat/>
    <w:rsid w:val="002D7F6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22</Pages>
  <Words>1707</Words>
  <Characters>9731</Characters>
  <Application>Microsoft Office Word</Application>
  <DocSecurity>0</DocSecurity>
  <Lines>81</Lines>
  <Paragraphs>22</Paragraphs>
  <ScaleCrop>false</ScaleCrop>
  <Company>china</Company>
  <LinksUpToDate>false</LinksUpToDate>
  <CharactersWithSpaces>11416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816</cp:revision>
  <dcterms:created xsi:type="dcterms:W3CDTF">2019-05-30T09:42:00Z</dcterms:created>
  <dcterms:modified xsi:type="dcterms:W3CDTF">2021-07-14T11:41:00Z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